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24" w:rsidRPr="00E11424" w:rsidRDefault="00E11424" w:rsidP="00E11424">
      <w:pPr>
        <w:shd w:val="clear" w:color="auto" w:fill="F6F6F6"/>
        <w:spacing w:after="0" w:line="240" w:lineRule="auto"/>
        <w:outlineLvl w:val="0"/>
        <w:rPr>
          <w:rFonts w:ascii="Fira Sans" w:eastAsia="Times New Roman" w:hAnsi="Fira Sans" w:cs="Times New Roman"/>
          <w:b/>
          <w:color w:val="353535"/>
          <w:kern w:val="36"/>
          <w:sz w:val="24"/>
          <w:szCs w:val="24"/>
          <w:lang w:eastAsia="cs-CZ"/>
        </w:rPr>
      </w:pPr>
      <w:bookmarkStart w:id="0" w:name="_GoBack"/>
      <w:r w:rsidRPr="00E11424">
        <w:rPr>
          <w:rFonts w:ascii="Fira Sans" w:eastAsia="Times New Roman" w:hAnsi="Fira Sans" w:cs="Times New Roman"/>
          <w:b/>
          <w:color w:val="353535"/>
          <w:kern w:val="36"/>
          <w:sz w:val="24"/>
          <w:szCs w:val="24"/>
          <w:lang w:eastAsia="cs-CZ"/>
        </w:rPr>
        <w:t>Zákon č. 100/1988 Sb. o sociálním zabezpečení</w:t>
      </w:r>
    </w:p>
    <w:p w:rsidR="00E11424" w:rsidRPr="00E11424" w:rsidRDefault="00E11424" w:rsidP="00E11424">
      <w:pPr>
        <w:shd w:val="clear" w:color="auto" w:fill="F6F6F6"/>
        <w:spacing w:after="0" w:line="240" w:lineRule="auto"/>
        <w:rPr>
          <w:rFonts w:ascii="Fira Sans" w:eastAsia="Times New Roman" w:hAnsi="Fira Sans" w:cs="Times New Roman"/>
          <w:color w:val="FF0000"/>
          <w:sz w:val="24"/>
          <w:szCs w:val="24"/>
          <w:highlight w:val="yellow"/>
          <w:lang w:eastAsia="cs-CZ"/>
        </w:rPr>
      </w:pPr>
    </w:p>
    <w:p w:rsidR="00E11424" w:rsidRPr="00E11424" w:rsidRDefault="00E11424" w:rsidP="00E11424">
      <w:pPr>
        <w:shd w:val="clear" w:color="auto" w:fill="F6F6F6"/>
        <w:spacing w:after="0" w:line="240" w:lineRule="auto"/>
        <w:rPr>
          <w:rFonts w:ascii="Fira Sans" w:eastAsia="Times New Roman" w:hAnsi="Fira Sans" w:cs="Times New Roman"/>
          <w:color w:val="FF0000"/>
          <w:sz w:val="24"/>
          <w:szCs w:val="24"/>
          <w:lang w:eastAsia="cs-CZ"/>
        </w:rPr>
      </w:pPr>
      <w:proofErr w:type="gramStart"/>
      <w:r w:rsidRPr="00E11424">
        <w:rPr>
          <w:rFonts w:ascii="Fira Sans" w:eastAsia="Times New Roman" w:hAnsi="Fira Sans" w:cs="Times New Roman"/>
          <w:color w:val="FF0000"/>
          <w:sz w:val="24"/>
          <w:szCs w:val="24"/>
          <w:highlight w:val="yellow"/>
          <w:lang w:eastAsia="cs-CZ"/>
        </w:rPr>
        <w:t>01.01.2001</w:t>
      </w:r>
      <w:proofErr w:type="gramEnd"/>
      <w:r w:rsidRPr="00E11424">
        <w:rPr>
          <w:rFonts w:ascii="Fira Sans" w:eastAsia="Times New Roman" w:hAnsi="Fira Sans" w:cs="Times New Roman"/>
          <w:color w:val="FF0000"/>
          <w:sz w:val="24"/>
          <w:szCs w:val="24"/>
          <w:highlight w:val="yellow"/>
          <w:lang w:eastAsia="cs-CZ"/>
        </w:rPr>
        <w:t xml:space="preserve"> - 30.06.2002</w:t>
      </w:r>
    </w:p>
    <w:p w:rsidR="00E11424" w:rsidRPr="00E11424" w:rsidRDefault="00E11424" w:rsidP="00E11424">
      <w:pPr>
        <w:shd w:val="clear" w:color="auto" w:fill="FFFFFF"/>
        <w:spacing w:after="96" w:line="645" w:lineRule="atLeast"/>
        <w:jc w:val="center"/>
        <w:rPr>
          <w:rFonts w:ascii="Helvetica" w:eastAsia="Times New Roman" w:hAnsi="Helvetica" w:cs="Helvetica"/>
          <w:color w:val="007AC3"/>
          <w:sz w:val="24"/>
          <w:szCs w:val="24"/>
          <w:lang w:eastAsia="cs-CZ"/>
        </w:rPr>
      </w:pPr>
      <w:r w:rsidRPr="00E11424">
        <w:rPr>
          <w:rFonts w:ascii="Helvetica" w:eastAsia="Times New Roman" w:hAnsi="Helvetica" w:cs="Helvetica"/>
          <w:color w:val="007AC3"/>
          <w:sz w:val="24"/>
          <w:szCs w:val="24"/>
          <w:lang w:eastAsia="cs-CZ"/>
        </w:rPr>
        <w:t>§ 80</w:t>
      </w:r>
    </w:p>
    <w:p w:rsidR="00E11424" w:rsidRPr="00E11424" w:rsidRDefault="00E11424" w:rsidP="00E11424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bookmarkStart w:id="1" w:name="c_24540"/>
      <w:bookmarkEnd w:id="1"/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nadpis vypuštěn</w:t>
      </w:r>
    </w:p>
    <w:p w:rsidR="00E11424" w:rsidRPr="00E11424" w:rsidRDefault="00E11424" w:rsidP="00E1142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Příspěvek při péči o blízkou nebo jinou osobu (dále jen "příspěvek") náleží občanovi pečujícímu osobně, celodenně a řádně o blízkou osobu, která je</w:t>
      </w:r>
    </w:p>
    <w:p w:rsidR="00E11424" w:rsidRPr="00E11424" w:rsidRDefault="00E11424" w:rsidP="00E11424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E11424">
        <w:rPr>
          <w:rFonts w:ascii="Helvetica" w:eastAsia="Times New Roman" w:hAnsi="Helvetica" w:cs="Helvetica"/>
          <w:color w:val="232323"/>
          <w:sz w:val="24"/>
          <w:szCs w:val="24"/>
          <w:highlight w:val="yellow"/>
          <w:lang w:eastAsia="cs-CZ"/>
        </w:rPr>
        <w:t>a) převážně nebo úplně bezmocná,</w:t>
      </w:r>
    </w:p>
    <w:p w:rsidR="00E11424" w:rsidRPr="00E11424" w:rsidRDefault="00E11424" w:rsidP="00E11424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b) starší 80 let a je částečně bezmocná, nebo</w:t>
      </w:r>
    </w:p>
    <w:p w:rsidR="00E11424" w:rsidRPr="00E11424" w:rsidRDefault="00E11424" w:rsidP="00E11424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E11424">
        <w:rPr>
          <w:rFonts w:ascii="Helvetica" w:eastAsia="Times New Roman" w:hAnsi="Helvetica" w:cs="Helvetica"/>
          <w:color w:val="232323"/>
          <w:sz w:val="24"/>
          <w:szCs w:val="24"/>
          <w:highlight w:val="yellow"/>
          <w:lang w:eastAsia="cs-CZ"/>
        </w:rPr>
        <w:t>c) starší 80 let a podle vyjádření ošetřujícího lékaře potřebuje péči jiné osoby,</w:t>
      </w:r>
    </w:p>
    <w:p w:rsidR="00E11424" w:rsidRPr="00E11424" w:rsidRDefault="00E11424" w:rsidP="00E11424">
      <w:pPr>
        <w:shd w:val="clear" w:color="auto" w:fill="FFFFFF"/>
        <w:spacing w:after="192"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 xml:space="preserve">jestliže jeho příjem vyplacený v kalendářním měsíci nedosahuje 1,6násobku částky na osobní </w:t>
      </w:r>
      <w:proofErr w:type="gramStart"/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potřeby,</w:t>
      </w:r>
      <w:r w:rsidRPr="00E11424">
        <w:rPr>
          <w:rFonts w:ascii="Helvetica" w:eastAsia="Times New Roman" w:hAnsi="Helvetica" w:cs="Helvetica"/>
          <w:color w:val="232323"/>
          <w:sz w:val="24"/>
          <w:szCs w:val="24"/>
          <w:vertAlign w:val="superscript"/>
          <w:lang w:eastAsia="cs-CZ"/>
        </w:rPr>
        <w:t>55</w:t>
      </w:r>
      <w:proofErr w:type="gramEnd"/>
      <w:r w:rsidRPr="00E11424">
        <w:rPr>
          <w:rFonts w:ascii="Helvetica" w:eastAsia="Times New Roman" w:hAnsi="Helvetica" w:cs="Helvetica"/>
          <w:color w:val="232323"/>
          <w:sz w:val="24"/>
          <w:szCs w:val="24"/>
          <w:vertAlign w:val="superscript"/>
          <w:lang w:eastAsia="cs-CZ"/>
        </w:rPr>
        <w:t>)</w:t>
      </w:r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 xml:space="preserve"> pečuje-li o jednu takovou osobu, nebo 2,75násobku částky na osobní potřeby, pečuje-li o dvě nebo více takových osob; příspěvek náleží též občanovi, který pečuje o jinou než blízkou osobu, pokud spolu žijí v </w:t>
      </w:r>
      <w:proofErr w:type="gramStart"/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domácnosti.</w:t>
      </w:r>
      <w:r w:rsidRPr="00E11424">
        <w:rPr>
          <w:rFonts w:ascii="Helvetica" w:eastAsia="Times New Roman" w:hAnsi="Helvetica" w:cs="Helvetica"/>
          <w:color w:val="232323"/>
          <w:sz w:val="24"/>
          <w:szCs w:val="24"/>
          <w:vertAlign w:val="superscript"/>
          <w:lang w:eastAsia="cs-CZ"/>
        </w:rPr>
        <w:t>56</w:t>
      </w:r>
      <w:proofErr w:type="gramEnd"/>
      <w:r w:rsidRPr="00E11424">
        <w:rPr>
          <w:rFonts w:ascii="Helvetica" w:eastAsia="Times New Roman" w:hAnsi="Helvetica" w:cs="Helvetica"/>
          <w:color w:val="232323"/>
          <w:sz w:val="24"/>
          <w:szCs w:val="24"/>
          <w:vertAlign w:val="superscript"/>
          <w:lang w:eastAsia="cs-CZ"/>
        </w:rPr>
        <w:t>)</w:t>
      </w:r>
    </w:p>
    <w:p w:rsidR="00E11424" w:rsidRPr="00E11424" w:rsidRDefault="00E11424" w:rsidP="00E11424">
      <w:pPr>
        <w:shd w:val="clear" w:color="auto" w:fill="FFFFFF"/>
        <w:spacing w:after="96" w:line="645" w:lineRule="atLeast"/>
        <w:jc w:val="center"/>
        <w:rPr>
          <w:rFonts w:ascii="Helvetica" w:eastAsia="Times New Roman" w:hAnsi="Helvetica" w:cs="Helvetica"/>
          <w:color w:val="007AC3"/>
          <w:sz w:val="24"/>
          <w:szCs w:val="24"/>
          <w:lang w:eastAsia="cs-CZ"/>
        </w:rPr>
      </w:pPr>
      <w:bookmarkStart w:id="2" w:name="c_24853"/>
      <w:bookmarkStart w:id="3" w:name="pa_81"/>
      <w:bookmarkStart w:id="4" w:name="p_81"/>
      <w:bookmarkEnd w:id="2"/>
      <w:bookmarkEnd w:id="3"/>
      <w:bookmarkEnd w:id="4"/>
      <w:r w:rsidRPr="00E11424">
        <w:rPr>
          <w:rFonts w:ascii="Helvetica" w:eastAsia="Times New Roman" w:hAnsi="Helvetica" w:cs="Helvetica"/>
          <w:color w:val="007AC3"/>
          <w:sz w:val="24"/>
          <w:szCs w:val="24"/>
          <w:lang w:eastAsia="cs-CZ"/>
        </w:rPr>
        <w:t>§ 81</w:t>
      </w:r>
    </w:p>
    <w:p w:rsidR="00E11424" w:rsidRPr="00E11424" w:rsidRDefault="00E11424" w:rsidP="00E11424">
      <w:pPr>
        <w:shd w:val="clear" w:color="auto" w:fill="F2F8FC"/>
        <w:spacing w:after="0" w:line="240" w:lineRule="auto"/>
        <w:jc w:val="center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bookmarkStart w:id="5" w:name="c_24855"/>
      <w:bookmarkEnd w:id="5"/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nadpis vypuštěn</w:t>
      </w:r>
    </w:p>
    <w:p w:rsidR="00E11424" w:rsidRPr="00E11424" w:rsidRDefault="00E11424" w:rsidP="00E11424">
      <w:pPr>
        <w:shd w:val="clear" w:color="auto" w:fill="F2F8FC"/>
        <w:spacing w:after="0"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Příspěvek podle </w:t>
      </w:r>
      <w:hyperlink r:id="rId5" w:history="1">
        <w:r w:rsidRPr="00E11424">
          <w:rPr>
            <w:rFonts w:ascii="Helvetica" w:eastAsia="Times New Roman" w:hAnsi="Helvetica" w:cs="Helvetica"/>
            <w:color w:val="005B92"/>
            <w:sz w:val="24"/>
            <w:szCs w:val="24"/>
            <w:lang w:eastAsia="cs-CZ"/>
          </w:rPr>
          <w:t>§ 80</w:t>
        </w:r>
      </w:hyperlink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 xml:space="preserve"> náleží též rodiči nebo prarodiči, popřípadě jinému občanovi, který převzal dítě do péče nahrazující péči rodičů na základě rozhodnutí příslušného orgánu, pečujícímu osobně, celodenně a řádně o nezletilé dítě starší jednoho roku, které je podle zvláštního předpisu dlouhodobě těžce zdravotně postižené vyžadující mimořádnou </w:t>
      </w:r>
      <w:proofErr w:type="gramStart"/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péči.</w:t>
      </w:r>
      <w:r w:rsidRPr="00E11424">
        <w:rPr>
          <w:rFonts w:ascii="Helvetica" w:eastAsia="Times New Roman" w:hAnsi="Helvetica" w:cs="Helvetica"/>
          <w:color w:val="232323"/>
          <w:sz w:val="24"/>
          <w:szCs w:val="24"/>
          <w:vertAlign w:val="superscript"/>
          <w:lang w:eastAsia="cs-CZ"/>
        </w:rPr>
        <w:t>57</w:t>
      </w:r>
      <w:proofErr w:type="gramEnd"/>
      <w:r w:rsidRPr="00E11424">
        <w:rPr>
          <w:rFonts w:ascii="Helvetica" w:eastAsia="Times New Roman" w:hAnsi="Helvetica" w:cs="Helvetica"/>
          <w:color w:val="232323"/>
          <w:sz w:val="24"/>
          <w:szCs w:val="24"/>
          <w:vertAlign w:val="superscript"/>
          <w:lang w:eastAsia="cs-CZ"/>
        </w:rPr>
        <w:t>)</w:t>
      </w:r>
    </w:p>
    <w:p w:rsidR="00E11424" w:rsidRPr="00E11424" w:rsidRDefault="00E11424" w:rsidP="00E11424">
      <w:pPr>
        <w:shd w:val="clear" w:color="auto" w:fill="FFFFFF"/>
        <w:spacing w:after="96" w:line="645" w:lineRule="atLeast"/>
        <w:jc w:val="center"/>
        <w:rPr>
          <w:rFonts w:ascii="Helvetica" w:eastAsia="Times New Roman" w:hAnsi="Helvetica" w:cs="Helvetica"/>
          <w:color w:val="007AC3"/>
          <w:sz w:val="24"/>
          <w:szCs w:val="24"/>
          <w:lang w:eastAsia="cs-CZ"/>
        </w:rPr>
      </w:pPr>
      <w:bookmarkStart w:id="6" w:name="c_25122"/>
      <w:bookmarkStart w:id="7" w:name="pa_82"/>
      <w:bookmarkStart w:id="8" w:name="p_82"/>
      <w:bookmarkEnd w:id="6"/>
      <w:bookmarkEnd w:id="7"/>
      <w:bookmarkEnd w:id="8"/>
      <w:r w:rsidRPr="00E11424">
        <w:rPr>
          <w:rFonts w:ascii="Helvetica" w:eastAsia="Times New Roman" w:hAnsi="Helvetica" w:cs="Helvetica"/>
          <w:color w:val="007AC3"/>
          <w:sz w:val="24"/>
          <w:szCs w:val="24"/>
          <w:lang w:eastAsia="cs-CZ"/>
        </w:rPr>
        <w:t>§ 82</w:t>
      </w:r>
    </w:p>
    <w:p w:rsidR="00E11424" w:rsidRPr="00E11424" w:rsidRDefault="00E11424" w:rsidP="00E11424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bookmarkStart w:id="9" w:name="c_25124"/>
      <w:bookmarkEnd w:id="9"/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nadpis vypuštěn</w:t>
      </w:r>
    </w:p>
    <w:p w:rsidR="00E11424" w:rsidRPr="00E11424" w:rsidRDefault="00E11424" w:rsidP="00E11424">
      <w:pPr>
        <w:shd w:val="clear" w:color="auto" w:fill="FFFFFF"/>
        <w:spacing w:after="192"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Podmínka celodenní péče se považuje za splněnou,</w:t>
      </w:r>
    </w:p>
    <w:p w:rsidR="00E11424" w:rsidRPr="00E11424" w:rsidRDefault="00E11424" w:rsidP="00E11424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a) je-li dítě předškolního věku umístěno v jeslích nebo mateřské škole, popřípadě v obdobném zařízení, a to po dobu, která nepřevyšuje čtyři hodiny denně,</w:t>
      </w:r>
    </w:p>
    <w:p w:rsidR="00E11424" w:rsidRPr="00E11424" w:rsidRDefault="00E11424" w:rsidP="00E11424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b) jde-li o dítě plnící povinnou školní docházku, a to po dobu školní výuky. Za povinnou školní docházku se pro účely tohoto zákona považuje též docházka do 10. ročníku speciální základní školy, zvláštní školy nebo pomocné školy,</w:t>
      </w:r>
    </w:p>
    <w:p w:rsidR="00E11424" w:rsidRPr="00E11424" w:rsidRDefault="00E11424" w:rsidP="00E11424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 xml:space="preserve">c) jde-li o dítě do 18 let věku, které se připravuje na budoucí povolání studiem na střední škole nebo přípravou v učilišti nebo ve speciální škole podle zvláštního </w:t>
      </w:r>
      <w:proofErr w:type="gramStart"/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zákona,</w:t>
      </w:r>
      <w:r w:rsidRPr="00E11424">
        <w:rPr>
          <w:rFonts w:ascii="Helvetica" w:eastAsia="Times New Roman" w:hAnsi="Helvetica" w:cs="Helvetica"/>
          <w:color w:val="232323"/>
          <w:sz w:val="24"/>
          <w:szCs w:val="24"/>
          <w:vertAlign w:val="superscript"/>
          <w:lang w:eastAsia="cs-CZ"/>
        </w:rPr>
        <w:t>58</w:t>
      </w:r>
      <w:proofErr w:type="gramEnd"/>
      <w:r w:rsidRPr="00E11424">
        <w:rPr>
          <w:rFonts w:ascii="Helvetica" w:eastAsia="Times New Roman" w:hAnsi="Helvetica" w:cs="Helvetica"/>
          <w:color w:val="232323"/>
          <w:sz w:val="24"/>
          <w:szCs w:val="24"/>
          <w:vertAlign w:val="superscript"/>
          <w:lang w:eastAsia="cs-CZ"/>
        </w:rPr>
        <w:t>)</w:t>
      </w:r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 a to po dobu školní výuky,</w:t>
      </w:r>
    </w:p>
    <w:p w:rsidR="00E11424" w:rsidRPr="00E11424" w:rsidRDefault="00E11424" w:rsidP="00E11424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d) jde-li o dítě do 18 let věku, které je umístěno v zařízení pro děti, které byly osvobozeny od povinné školní docházky, a to po dobu, která nepřevyšuje šest hodin denně,</w:t>
      </w:r>
    </w:p>
    <w:p w:rsidR="00E11424" w:rsidRPr="00E11424" w:rsidRDefault="00E11424" w:rsidP="00E11424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e) jde-li o osobu starší 18 let převážně nebo úplně bezmocnou, která navštěvuje odpovídající zařízení, a to po dobu, která nepřevyšuje šest hodin denně,</w:t>
      </w:r>
    </w:p>
    <w:p w:rsidR="00E11424" w:rsidRPr="00E11424" w:rsidRDefault="00E11424" w:rsidP="00E11424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 xml:space="preserve">f) jde-li o osobu starší 18 let převážně nebo úplně bezmocnou, která se soustavně připravuje na budoucí </w:t>
      </w:r>
      <w:proofErr w:type="gramStart"/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povolání,</w:t>
      </w:r>
      <w:r w:rsidRPr="00E11424">
        <w:rPr>
          <w:rFonts w:ascii="Helvetica" w:eastAsia="Times New Roman" w:hAnsi="Helvetica" w:cs="Helvetica"/>
          <w:color w:val="232323"/>
          <w:sz w:val="24"/>
          <w:szCs w:val="24"/>
          <w:vertAlign w:val="superscript"/>
          <w:lang w:eastAsia="cs-CZ"/>
        </w:rPr>
        <w:t>66</w:t>
      </w:r>
      <w:proofErr w:type="gramEnd"/>
      <w:r w:rsidRPr="00E11424">
        <w:rPr>
          <w:rFonts w:ascii="Helvetica" w:eastAsia="Times New Roman" w:hAnsi="Helvetica" w:cs="Helvetica"/>
          <w:color w:val="232323"/>
          <w:sz w:val="24"/>
          <w:szCs w:val="24"/>
          <w:vertAlign w:val="superscript"/>
          <w:lang w:eastAsia="cs-CZ"/>
        </w:rPr>
        <w:t>)</w:t>
      </w:r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 a to po dobu výuky.</w:t>
      </w:r>
    </w:p>
    <w:p w:rsidR="00E11424" w:rsidRPr="00E11424" w:rsidRDefault="00E11424" w:rsidP="00E11424">
      <w:pPr>
        <w:shd w:val="clear" w:color="auto" w:fill="FFFFFF"/>
        <w:spacing w:after="96" w:line="645" w:lineRule="atLeast"/>
        <w:jc w:val="center"/>
        <w:rPr>
          <w:rFonts w:ascii="Helvetica" w:eastAsia="Times New Roman" w:hAnsi="Helvetica" w:cs="Helvetica"/>
          <w:color w:val="007AC3"/>
          <w:sz w:val="24"/>
          <w:szCs w:val="24"/>
          <w:lang w:eastAsia="cs-CZ"/>
        </w:rPr>
      </w:pPr>
      <w:bookmarkStart w:id="10" w:name="c_25973"/>
      <w:bookmarkStart w:id="11" w:name="pa_83"/>
      <w:bookmarkStart w:id="12" w:name="p_83"/>
      <w:bookmarkEnd w:id="10"/>
      <w:bookmarkEnd w:id="11"/>
      <w:bookmarkEnd w:id="12"/>
      <w:r w:rsidRPr="00E11424">
        <w:rPr>
          <w:rFonts w:ascii="Helvetica" w:eastAsia="Times New Roman" w:hAnsi="Helvetica" w:cs="Helvetica"/>
          <w:color w:val="007AC3"/>
          <w:sz w:val="24"/>
          <w:szCs w:val="24"/>
          <w:lang w:eastAsia="cs-CZ"/>
        </w:rPr>
        <w:t>§ 83</w:t>
      </w:r>
    </w:p>
    <w:p w:rsidR="00E11424" w:rsidRPr="00E11424" w:rsidRDefault="00E11424" w:rsidP="00E11424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bookmarkStart w:id="13" w:name="c_25975"/>
      <w:bookmarkEnd w:id="13"/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nadpis vypuštěn</w:t>
      </w:r>
    </w:p>
    <w:p w:rsidR="00E11424" w:rsidRPr="00E11424" w:rsidRDefault="00E11424" w:rsidP="00E1142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lastRenderedPageBreak/>
        <w:t>Příjmem se rozumí příjem stanovený v </w:t>
      </w:r>
      <w:hyperlink r:id="rId6" w:history="1">
        <w:r w:rsidRPr="00E11424">
          <w:rPr>
            <w:rFonts w:ascii="Helvetica" w:eastAsia="Times New Roman" w:hAnsi="Helvetica" w:cs="Helvetica"/>
            <w:color w:val="005B92"/>
            <w:sz w:val="24"/>
            <w:szCs w:val="24"/>
            <w:lang w:eastAsia="cs-CZ"/>
          </w:rPr>
          <w:t>zákoně o životním minimu</w:t>
        </w:r>
      </w:hyperlink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;</w:t>
      </w:r>
      <w:r w:rsidRPr="00E11424">
        <w:rPr>
          <w:rFonts w:ascii="Helvetica" w:eastAsia="Times New Roman" w:hAnsi="Helvetica" w:cs="Helvetica"/>
          <w:color w:val="232323"/>
          <w:sz w:val="24"/>
          <w:szCs w:val="24"/>
          <w:vertAlign w:val="superscript"/>
          <w:lang w:eastAsia="cs-CZ"/>
        </w:rPr>
        <w:t>59)</w:t>
      </w:r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 do příjmů se však nezapočítává</w:t>
      </w:r>
    </w:p>
    <w:p w:rsidR="00E11424" w:rsidRPr="00E11424" w:rsidRDefault="00E11424" w:rsidP="00E11424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 xml:space="preserve">a) sociální příplatek a příspěvek na bydlení poskytované podle zvláštního </w:t>
      </w:r>
      <w:proofErr w:type="gramStart"/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zákona,</w:t>
      </w:r>
      <w:r w:rsidRPr="00E11424">
        <w:rPr>
          <w:rFonts w:ascii="Helvetica" w:eastAsia="Times New Roman" w:hAnsi="Helvetica" w:cs="Helvetica"/>
          <w:color w:val="232323"/>
          <w:sz w:val="24"/>
          <w:szCs w:val="24"/>
          <w:vertAlign w:val="superscript"/>
          <w:lang w:eastAsia="cs-CZ"/>
        </w:rPr>
        <w:t>60</w:t>
      </w:r>
      <w:proofErr w:type="gramEnd"/>
      <w:r w:rsidRPr="00E11424">
        <w:rPr>
          <w:rFonts w:ascii="Helvetica" w:eastAsia="Times New Roman" w:hAnsi="Helvetica" w:cs="Helvetica"/>
          <w:color w:val="232323"/>
          <w:sz w:val="24"/>
          <w:szCs w:val="24"/>
          <w:vertAlign w:val="superscript"/>
          <w:lang w:eastAsia="cs-CZ"/>
        </w:rPr>
        <w:t>)</w:t>
      </w:r>
    </w:p>
    <w:p w:rsidR="00E11424" w:rsidRPr="00E11424" w:rsidRDefault="00E11424" w:rsidP="00E11424">
      <w:pPr>
        <w:shd w:val="clear" w:color="auto" w:fill="FFFFFF"/>
        <w:spacing w:after="0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 xml:space="preserve">b) sociální příspěvek k vyrovnání zvýšení cen tepelné energie poskytovaný podle zvláštního </w:t>
      </w:r>
      <w:proofErr w:type="gramStart"/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zákona,</w:t>
      </w:r>
      <w:r w:rsidRPr="00E11424">
        <w:rPr>
          <w:rFonts w:ascii="Helvetica" w:eastAsia="Times New Roman" w:hAnsi="Helvetica" w:cs="Helvetica"/>
          <w:color w:val="232323"/>
          <w:sz w:val="24"/>
          <w:szCs w:val="24"/>
          <w:vertAlign w:val="superscript"/>
          <w:lang w:eastAsia="cs-CZ"/>
        </w:rPr>
        <w:t>61</w:t>
      </w:r>
      <w:proofErr w:type="gramEnd"/>
      <w:r w:rsidRPr="00E11424">
        <w:rPr>
          <w:rFonts w:ascii="Helvetica" w:eastAsia="Times New Roman" w:hAnsi="Helvetica" w:cs="Helvetica"/>
          <w:color w:val="232323"/>
          <w:sz w:val="24"/>
          <w:szCs w:val="24"/>
          <w:vertAlign w:val="superscript"/>
          <w:lang w:eastAsia="cs-CZ"/>
        </w:rPr>
        <w:t>)</w:t>
      </w:r>
    </w:p>
    <w:p w:rsidR="00E11424" w:rsidRPr="00E11424" w:rsidRDefault="00E11424" w:rsidP="00E11424">
      <w:pPr>
        <w:shd w:val="clear" w:color="auto" w:fill="FFFFFF"/>
        <w:spacing w:after="192" w:line="240" w:lineRule="auto"/>
        <w:ind w:hanging="264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 xml:space="preserve">c) sociální příspěvek k vyrovnání zvýšení nájemného poskytovaný podle zvláštního </w:t>
      </w:r>
      <w:proofErr w:type="gramStart"/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zákona.</w:t>
      </w:r>
      <w:r w:rsidRPr="00E11424">
        <w:rPr>
          <w:rFonts w:ascii="Helvetica" w:eastAsia="Times New Roman" w:hAnsi="Helvetica" w:cs="Helvetica"/>
          <w:color w:val="232323"/>
          <w:sz w:val="24"/>
          <w:szCs w:val="24"/>
          <w:vertAlign w:val="superscript"/>
          <w:lang w:eastAsia="cs-CZ"/>
        </w:rPr>
        <w:t>62</w:t>
      </w:r>
      <w:proofErr w:type="gramEnd"/>
      <w:r w:rsidRPr="00E11424">
        <w:rPr>
          <w:rFonts w:ascii="Helvetica" w:eastAsia="Times New Roman" w:hAnsi="Helvetica" w:cs="Helvetica"/>
          <w:color w:val="232323"/>
          <w:sz w:val="24"/>
          <w:szCs w:val="24"/>
          <w:vertAlign w:val="superscript"/>
          <w:lang w:eastAsia="cs-CZ"/>
        </w:rPr>
        <w:t>)</w:t>
      </w:r>
    </w:p>
    <w:p w:rsidR="00E11424" w:rsidRPr="00E11424" w:rsidRDefault="00E11424" w:rsidP="00E11424">
      <w:pPr>
        <w:shd w:val="clear" w:color="auto" w:fill="FFFFFF"/>
        <w:spacing w:after="96" w:line="645" w:lineRule="atLeast"/>
        <w:jc w:val="center"/>
        <w:rPr>
          <w:rFonts w:ascii="Helvetica" w:eastAsia="Times New Roman" w:hAnsi="Helvetica" w:cs="Helvetica"/>
          <w:color w:val="007AC3"/>
          <w:sz w:val="24"/>
          <w:szCs w:val="24"/>
          <w:lang w:eastAsia="cs-CZ"/>
        </w:rPr>
      </w:pPr>
      <w:bookmarkStart w:id="14" w:name="c_26877"/>
      <w:bookmarkStart w:id="15" w:name="pa_84"/>
      <w:bookmarkStart w:id="16" w:name="p_84"/>
      <w:bookmarkEnd w:id="14"/>
      <w:bookmarkEnd w:id="15"/>
      <w:bookmarkEnd w:id="16"/>
      <w:r w:rsidRPr="00E11424">
        <w:rPr>
          <w:rFonts w:ascii="Helvetica" w:eastAsia="Times New Roman" w:hAnsi="Helvetica" w:cs="Helvetica"/>
          <w:color w:val="007AC3"/>
          <w:sz w:val="24"/>
          <w:szCs w:val="24"/>
          <w:lang w:eastAsia="cs-CZ"/>
        </w:rPr>
        <w:t>§ 84</w:t>
      </w:r>
    </w:p>
    <w:p w:rsidR="00E11424" w:rsidRPr="00E11424" w:rsidRDefault="00E11424" w:rsidP="00E11424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bookmarkStart w:id="17" w:name="c_26879"/>
      <w:bookmarkEnd w:id="17"/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nadpis vypuštěn</w:t>
      </w:r>
    </w:p>
    <w:p w:rsidR="00E11424" w:rsidRPr="00E11424" w:rsidRDefault="00E11424" w:rsidP="00E11424">
      <w:pPr>
        <w:shd w:val="clear" w:color="auto" w:fill="FFFFFF"/>
        <w:spacing w:after="192"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Občanovi uvedenému v </w:t>
      </w:r>
      <w:hyperlink r:id="rId7" w:history="1">
        <w:r w:rsidRPr="00E11424">
          <w:rPr>
            <w:rFonts w:ascii="Helvetica" w:eastAsia="Times New Roman" w:hAnsi="Helvetica" w:cs="Helvetica"/>
            <w:color w:val="005B92"/>
            <w:sz w:val="24"/>
            <w:szCs w:val="24"/>
            <w:lang w:eastAsia="cs-CZ"/>
          </w:rPr>
          <w:t>§ 80</w:t>
        </w:r>
      </w:hyperlink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 a </w:t>
      </w:r>
      <w:hyperlink r:id="rId8" w:history="1">
        <w:r w:rsidRPr="00E11424">
          <w:rPr>
            <w:rFonts w:ascii="Helvetica" w:eastAsia="Times New Roman" w:hAnsi="Helvetica" w:cs="Helvetica"/>
            <w:color w:val="005B92"/>
            <w:sz w:val="24"/>
            <w:szCs w:val="24"/>
            <w:lang w:eastAsia="cs-CZ"/>
          </w:rPr>
          <w:t>81</w:t>
        </w:r>
      </w:hyperlink>
      <w:r w:rsidRPr="00E11424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 náleží měsíčně peněžitý příspěvek ve výši rozdílu mezi jeho příjmem v kalendářním měsíci a 1,6násobkem částky na osobní potřeby, jestliže pečuje o jednu osobu, nebo 2,75násobkem této částky, jestliže pečuje o dvě nebo více osob. Nedosahuje-li výše příspěvku stanovená podle předchozí věty částky 50 Kč za kalendářní měsíc, zvyšuje se na tuto částku.</w:t>
      </w:r>
    </w:p>
    <w:p w:rsidR="001A7AAE" w:rsidRDefault="001A7AAE">
      <w:pPr>
        <w:rPr>
          <w:sz w:val="24"/>
          <w:szCs w:val="24"/>
        </w:rPr>
      </w:pPr>
    </w:p>
    <w:p w:rsidR="00C80CE5" w:rsidRDefault="00C80CE5">
      <w:pPr>
        <w:rPr>
          <w:sz w:val="24"/>
          <w:szCs w:val="24"/>
        </w:rPr>
      </w:pPr>
    </w:p>
    <w:p w:rsidR="00C80CE5" w:rsidRPr="00C80CE5" w:rsidRDefault="00C80CE5" w:rsidP="00C80CE5">
      <w:pPr>
        <w:shd w:val="clear" w:color="auto" w:fill="F6F6F6"/>
        <w:spacing w:after="0" w:line="240" w:lineRule="auto"/>
        <w:outlineLvl w:val="0"/>
        <w:rPr>
          <w:rFonts w:ascii="Fira Sans" w:eastAsia="Times New Roman" w:hAnsi="Fira Sans" w:cs="Times New Roman"/>
          <w:b/>
          <w:color w:val="353535"/>
          <w:kern w:val="36"/>
          <w:sz w:val="24"/>
          <w:szCs w:val="24"/>
          <w:lang w:eastAsia="cs-CZ"/>
        </w:rPr>
      </w:pPr>
      <w:r w:rsidRPr="00C80CE5">
        <w:rPr>
          <w:rFonts w:ascii="Fira Sans" w:eastAsia="Times New Roman" w:hAnsi="Fira Sans" w:cs="Times New Roman"/>
          <w:b/>
          <w:color w:val="353535"/>
          <w:kern w:val="36"/>
          <w:sz w:val="24"/>
          <w:szCs w:val="24"/>
          <w:lang w:eastAsia="cs-CZ"/>
        </w:rPr>
        <w:t>Zákon č. 155/1995 Sb. o důchodovém pojištění</w:t>
      </w:r>
    </w:p>
    <w:p w:rsidR="00C80CE5" w:rsidRPr="00C80CE5" w:rsidRDefault="00C80CE5" w:rsidP="00C80CE5">
      <w:pPr>
        <w:shd w:val="clear" w:color="auto" w:fill="F6F6F6"/>
        <w:spacing w:after="0" w:line="240" w:lineRule="auto"/>
        <w:rPr>
          <w:rFonts w:ascii="Fira Sans" w:eastAsia="Times New Roman" w:hAnsi="Fira Sans" w:cs="Times New Roman"/>
          <w:color w:val="FF0000"/>
          <w:sz w:val="24"/>
          <w:szCs w:val="24"/>
          <w:highlight w:val="yellow"/>
          <w:lang w:eastAsia="cs-CZ"/>
        </w:rPr>
      </w:pPr>
      <w:proofErr w:type="gramStart"/>
      <w:r w:rsidRPr="00C80CE5">
        <w:rPr>
          <w:rFonts w:ascii="Fira Sans" w:eastAsia="Times New Roman" w:hAnsi="Fira Sans" w:cs="Times New Roman"/>
          <w:color w:val="FF0000"/>
          <w:sz w:val="24"/>
          <w:szCs w:val="24"/>
          <w:highlight w:val="yellow"/>
          <w:lang w:eastAsia="cs-CZ"/>
        </w:rPr>
        <w:t>01.07.2001</w:t>
      </w:r>
      <w:proofErr w:type="gramEnd"/>
      <w:r w:rsidRPr="00C80CE5">
        <w:rPr>
          <w:rFonts w:ascii="Fira Sans" w:eastAsia="Times New Roman" w:hAnsi="Fira Sans" w:cs="Times New Roman"/>
          <w:color w:val="FF0000"/>
          <w:sz w:val="24"/>
          <w:szCs w:val="24"/>
          <w:highlight w:val="yellow"/>
          <w:lang w:eastAsia="cs-CZ"/>
        </w:rPr>
        <w:t xml:space="preserve"> - 04.10.2001</w:t>
      </w:r>
    </w:p>
    <w:p w:rsidR="00E11424" w:rsidRDefault="00E11424" w:rsidP="00E11424">
      <w:pPr>
        <w:shd w:val="clear" w:color="auto" w:fill="FFFFFF"/>
        <w:spacing w:after="96" w:line="240" w:lineRule="auto"/>
        <w:jc w:val="center"/>
        <w:rPr>
          <w:rFonts w:ascii="Fira Sans" w:eastAsia="Times New Roman" w:hAnsi="Fira Sans" w:cs="Times New Roman"/>
          <w:color w:val="232323"/>
          <w:sz w:val="29"/>
          <w:szCs w:val="29"/>
          <w:lang w:eastAsia="cs-CZ"/>
        </w:rPr>
      </w:pPr>
    </w:p>
    <w:p w:rsidR="00E11424" w:rsidRPr="00E11424" w:rsidRDefault="00E11424" w:rsidP="00E11424">
      <w:pPr>
        <w:shd w:val="clear" w:color="auto" w:fill="FFFFFF"/>
        <w:spacing w:after="96" w:line="240" w:lineRule="auto"/>
        <w:jc w:val="center"/>
        <w:rPr>
          <w:rFonts w:ascii="Fira Sans" w:eastAsia="Times New Roman" w:hAnsi="Fira Sans" w:cs="Times New Roman"/>
          <w:color w:val="232323"/>
          <w:sz w:val="29"/>
          <w:szCs w:val="29"/>
          <w:lang w:eastAsia="cs-CZ"/>
        </w:rPr>
      </w:pPr>
      <w:r w:rsidRPr="00E11424">
        <w:rPr>
          <w:rFonts w:ascii="Fira Sans" w:eastAsia="Times New Roman" w:hAnsi="Fira Sans" w:cs="Times New Roman"/>
          <w:color w:val="232323"/>
          <w:sz w:val="29"/>
          <w:szCs w:val="29"/>
          <w:lang w:eastAsia="cs-CZ"/>
        </w:rPr>
        <w:t>HLAVA PRVNÍ</w:t>
      </w:r>
    </w:p>
    <w:p w:rsidR="00E11424" w:rsidRPr="00E11424" w:rsidRDefault="00E11424" w:rsidP="00E11424">
      <w:pPr>
        <w:shd w:val="clear" w:color="auto" w:fill="FFFFFF"/>
        <w:spacing w:after="96" w:line="240" w:lineRule="auto"/>
        <w:jc w:val="center"/>
        <w:rPr>
          <w:rFonts w:ascii="Fira Sans" w:eastAsia="Times New Roman" w:hAnsi="Fira Sans" w:cs="Times New Roman"/>
          <w:color w:val="232323"/>
          <w:sz w:val="29"/>
          <w:szCs w:val="29"/>
          <w:lang w:eastAsia="cs-CZ"/>
        </w:rPr>
      </w:pPr>
      <w:r w:rsidRPr="00E11424">
        <w:rPr>
          <w:rFonts w:ascii="Fira Sans" w:eastAsia="Times New Roman" w:hAnsi="Fira Sans" w:cs="Times New Roman"/>
          <w:color w:val="232323"/>
          <w:sz w:val="29"/>
          <w:szCs w:val="29"/>
          <w:lang w:eastAsia="cs-CZ"/>
        </w:rPr>
        <w:t>OKRUH POJIŠTĚNÝCH OSOB</w:t>
      </w:r>
    </w:p>
    <w:p w:rsidR="00E11424" w:rsidRDefault="00E11424" w:rsidP="00E11424">
      <w:pPr>
        <w:shd w:val="clear" w:color="auto" w:fill="FFFFFF"/>
        <w:spacing w:after="96" w:line="645" w:lineRule="atLeast"/>
        <w:jc w:val="center"/>
        <w:rPr>
          <w:rFonts w:ascii="Fira Sans" w:eastAsia="Times New Roman" w:hAnsi="Fira Sans" w:cs="Times New Roman"/>
          <w:color w:val="007AC3"/>
          <w:sz w:val="24"/>
          <w:szCs w:val="24"/>
          <w:lang w:eastAsia="cs-CZ"/>
        </w:rPr>
      </w:pPr>
      <w:bookmarkStart w:id="18" w:name="c_1232"/>
      <w:bookmarkStart w:id="19" w:name="pa_5"/>
      <w:bookmarkStart w:id="20" w:name="p_5"/>
      <w:bookmarkEnd w:id="18"/>
      <w:bookmarkEnd w:id="19"/>
      <w:bookmarkEnd w:id="20"/>
      <w:r w:rsidRPr="00E11424">
        <w:rPr>
          <w:rFonts w:ascii="Fira Sans" w:eastAsia="Times New Roman" w:hAnsi="Fira Sans" w:cs="Times New Roman"/>
          <w:color w:val="007AC3"/>
          <w:sz w:val="24"/>
          <w:szCs w:val="24"/>
          <w:lang w:eastAsia="cs-CZ"/>
        </w:rPr>
        <w:t>§ 5 </w:t>
      </w:r>
    </w:p>
    <w:p w:rsidR="00E11424" w:rsidRPr="00E11424" w:rsidRDefault="00E11424" w:rsidP="00C80CE5">
      <w:pPr>
        <w:shd w:val="clear" w:color="auto" w:fill="FFFFFF"/>
        <w:spacing w:after="192" w:line="240" w:lineRule="auto"/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</w:pPr>
      <w:r w:rsidRPr="00C80CE5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 xml:space="preserve">s) </w:t>
      </w:r>
      <w:r w:rsidRPr="00C80CE5">
        <w:rPr>
          <w:rFonts w:ascii="Helvetica" w:eastAsia="Times New Roman" w:hAnsi="Helvetica" w:cs="Helvetica"/>
          <w:color w:val="232323"/>
          <w:sz w:val="24"/>
          <w:szCs w:val="24"/>
          <w:highlight w:val="yellow"/>
          <w:lang w:eastAsia="cs-CZ"/>
        </w:rPr>
        <w:t>osoby pečující osobně o převážně nebo úplně bezmocnou osobu nebo částečně bezmocnou osobu starší 80 let, pokud spolu žijí v domácnosti</w:t>
      </w:r>
      <w:r w:rsidRPr="00C80CE5">
        <w:rPr>
          <w:rFonts w:ascii="Helvetica" w:eastAsia="Times New Roman" w:hAnsi="Helvetica" w:cs="Helvetica"/>
          <w:color w:val="232323"/>
          <w:sz w:val="24"/>
          <w:szCs w:val="24"/>
          <w:lang w:eastAsia="cs-CZ"/>
        </w:rPr>
        <w:t>;5a) podmínka domácnosti se nevyžaduje, jde-li o osobu blízkou,</w:t>
      </w:r>
    </w:p>
    <w:bookmarkEnd w:id="0"/>
    <w:p w:rsidR="00E11424" w:rsidRPr="00E11424" w:rsidRDefault="00E11424">
      <w:pPr>
        <w:rPr>
          <w:sz w:val="24"/>
          <w:szCs w:val="24"/>
        </w:rPr>
      </w:pPr>
    </w:p>
    <w:sectPr w:rsidR="00E11424" w:rsidRPr="00E11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24"/>
    <w:rsid w:val="001A7AAE"/>
    <w:rsid w:val="00C80CE5"/>
    <w:rsid w:val="00E1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114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11424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142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zrusen">
    <w:name w:val="zrusen"/>
    <w:basedOn w:val="Standardnpsmoodstavce"/>
    <w:rsid w:val="00E114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114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11424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142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zrusen">
    <w:name w:val="zrusen"/>
    <w:basedOn w:val="Standardnpsmoodstavce"/>
    <w:rsid w:val="00E11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7661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848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913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490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76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189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4952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3984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60478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365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681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99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7877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494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758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4292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7547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1959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323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337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0647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773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9385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1427">
          <w:marLeft w:val="0"/>
          <w:marRight w:val="0"/>
          <w:marTop w:val="96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634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8115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272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446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37726/1/ASPI%253A/100/1988%20Sb.%25238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37726/1/ASPI%253A/100/1988%20Sb.%2523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spi.cz/products/lawText/1/37726/1/ASPI%253A/463/1991%20Sb.%2523" TargetMode="External"/><Relationship Id="rId5" Type="http://schemas.openxmlformats.org/officeDocument/2006/relationships/hyperlink" Target="https://www.aspi.cz/products/lawText/1/37726/1/ASPI%253A/100/1988%20Sb.%2523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2026-01-24T15:45:00Z</dcterms:created>
  <dcterms:modified xsi:type="dcterms:W3CDTF">2026-01-24T16:11:00Z</dcterms:modified>
</cp:coreProperties>
</file>