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273C" w14:textId="77777777" w:rsidR="00822317" w:rsidRDefault="00822317" w:rsidP="00822317">
      <w:pPr>
        <w:pStyle w:val="Nadpis3"/>
        <w:spacing w:before="0"/>
        <w:ind w:left="5103"/>
        <w:rPr>
          <w:rFonts w:ascii="Times New Roman" w:hAnsi="Times New Roman"/>
          <w:b w:val="0"/>
          <w:sz w:val="22"/>
          <w:szCs w:val="22"/>
          <w:lang w:val="cs-CZ"/>
        </w:rPr>
      </w:pPr>
    </w:p>
    <w:p w14:paraId="6D3C83F4" w14:textId="77777777" w:rsidR="00E835C5" w:rsidRPr="00C62B44" w:rsidRDefault="00E835C5" w:rsidP="00E835C5">
      <w:pPr>
        <w:pStyle w:val="Nadpis3"/>
        <w:ind w:left="4820"/>
        <w:rPr>
          <w:rFonts w:ascii="Times New Roman" w:hAnsi="Times New Roman"/>
          <w:sz w:val="24"/>
        </w:rPr>
      </w:pPr>
      <w:r w:rsidRPr="00C62B44">
        <w:rPr>
          <w:rFonts w:ascii="Times New Roman" w:hAnsi="Times New Roman"/>
          <w:sz w:val="24"/>
        </w:rPr>
        <w:t>Ministerstvo práce a sociálních věcí ČR</w:t>
      </w:r>
    </w:p>
    <w:p w14:paraId="459F2718" w14:textId="77777777" w:rsidR="00E835C5" w:rsidRPr="00C62B44" w:rsidRDefault="00E835C5" w:rsidP="00E835C5">
      <w:pPr>
        <w:pStyle w:val="Nadpis3"/>
        <w:ind w:left="4820"/>
        <w:rPr>
          <w:rFonts w:ascii="Times New Roman" w:hAnsi="Times New Roman"/>
          <w:sz w:val="24"/>
          <w:lang w:val="cs-CZ"/>
        </w:rPr>
      </w:pPr>
      <w:r w:rsidRPr="00C62B44">
        <w:rPr>
          <w:rFonts w:ascii="Times New Roman" w:hAnsi="Times New Roman"/>
          <w:sz w:val="24"/>
        </w:rPr>
        <w:t>Na Poříčním právu 1/376</w:t>
      </w:r>
    </w:p>
    <w:p w14:paraId="05AB9C83" w14:textId="77777777" w:rsidR="00E835C5" w:rsidRPr="00C62B44" w:rsidRDefault="00E835C5" w:rsidP="00E835C5">
      <w:pPr>
        <w:pStyle w:val="Nadpis3"/>
        <w:ind w:left="4820"/>
        <w:rPr>
          <w:rFonts w:ascii="Times New Roman" w:hAnsi="Times New Roman"/>
          <w:sz w:val="24"/>
          <w:lang w:val="cs-CZ"/>
        </w:rPr>
      </w:pPr>
      <w:r w:rsidRPr="00C62B44">
        <w:rPr>
          <w:rFonts w:ascii="Times New Roman" w:hAnsi="Times New Roman"/>
          <w:sz w:val="24"/>
        </w:rPr>
        <w:t>128 01 Praha 2</w:t>
      </w:r>
    </w:p>
    <w:p w14:paraId="23A00A6F" w14:textId="77777777" w:rsidR="00E835C5" w:rsidRPr="00C62B44" w:rsidRDefault="00E835C5" w:rsidP="00E835C5">
      <w:pPr>
        <w:spacing w:line="312" w:lineRule="auto"/>
        <w:ind w:left="482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DBD0AAE" w14:textId="77777777" w:rsidR="00E835C5" w:rsidRPr="00C62B44" w:rsidRDefault="00E835C5" w:rsidP="00E835C5">
      <w:pPr>
        <w:spacing w:line="312" w:lineRule="auto"/>
        <w:ind w:left="482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84FA48D" w14:textId="77777777" w:rsidR="00E835C5" w:rsidRPr="00C62B44" w:rsidRDefault="00E835C5" w:rsidP="00E835C5">
      <w:pPr>
        <w:spacing w:line="312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62B4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 w:rsidRPr="00C62B44">
        <w:rPr>
          <w:rFonts w:ascii="Times New Roman" w:hAnsi="Times New Roman" w:cs="Times New Roman"/>
          <w:sz w:val="24"/>
          <w:szCs w:val="24"/>
        </w:rPr>
        <w:t xml:space="preserve"> 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</w:p>
    <w:p w14:paraId="5268B247" w14:textId="77777777" w:rsidR="00E835C5" w:rsidRPr="00C00937" w:rsidRDefault="00E835C5" w:rsidP="00E835C5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C2DB4" w14:textId="77777777" w:rsidR="00E835C5" w:rsidRPr="00C00937" w:rsidRDefault="00E835C5" w:rsidP="00E835C5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2190C" w14:textId="77777777" w:rsidR="00E835C5" w:rsidRPr="00C00937" w:rsidRDefault="00E835C5" w:rsidP="00E835C5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0937">
        <w:rPr>
          <w:rFonts w:ascii="Times New Roman" w:hAnsi="Times New Roman" w:cs="Times New Roman"/>
          <w:b/>
          <w:sz w:val="24"/>
          <w:szCs w:val="24"/>
        </w:rPr>
        <w:t>Žádost o přiměřené zadostiučinění nemajetkové újmy způsobené nesprávným úředním postupem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neučinění jednotlivých úkonů v řízení v přiměřené či zákonné lhůtě (při řízení o přiznání zvýšeného příspěvku na péči při pochybení na úseku posudkového lékařství)</w:t>
      </w:r>
    </w:p>
    <w:p w14:paraId="5A47C636" w14:textId="77777777" w:rsidR="00E835C5" w:rsidRPr="00C00937" w:rsidRDefault="00E835C5" w:rsidP="00E835C5">
      <w:pPr>
        <w:spacing w:line="312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E8BF231" w14:textId="77777777" w:rsidR="00E835C5" w:rsidRPr="0063009E" w:rsidRDefault="00E835C5" w:rsidP="00E835C5">
      <w:pPr>
        <w:spacing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v</w:t>
      </w:r>
      <w:r w:rsidRPr="0063009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e věci:</w:t>
      </w:r>
    </w:p>
    <w:p w14:paraId="29D6FCD9" w14:textId="77777777" w:rsidR="00E835C5" w:rsidRPr="006730C1" w:rsidRDefault="00E835C5" w:rsidP="00E835C5">
      <w:pPr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Řízení o zvýšení příspěvku na péči </w:t>
      </w:r>
      <w:r w:rsidRPr="006730C1">
        <w:rPr>
          <w:rFonts w:ascii="Times New Roman" w:hAnsi="Times New Roman"/>
          <w:sz w:val="24"/>
          <w:szCs w:val="24"/>
        </w:rPr>
        <w:t>spis. zn.</w:t>
      </w:r>
      <w:proofErr w:type="gramStart"/>
      <w:r w:rsidRPr="006730C1">
        <w:rPr>
          <w:rFonts w:ascii="Times New Roman" w:hAnsi="Times New Roman"/>
          <w:sz w:val="24"/>
          <w:szCs w:val="24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3B5946">
        <w:rPr>
          <w:rFonts w:ascii="Times New Roman" w:hAnsi="Times New Roman"/>
          <w:sz w:val="24"/>
          <w:szCs w:val="24"/>
        </w:rPr>
        <w:t>,</w:t>
      </w:r>
      <w:r w:rsidRPr="006730C1">
        <w:rPr>
          <w:rFonts w:ascii="Times New Roman" w:hAnsi="Times New Roman"/>
          <w:sz w:val="24"/>
          <w:szCs w:val="24"/>
        </w:rPr>
        <w:t xml:space="preserve"> pod č.j.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pro osobu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nar.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, trvale bytem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</w:p>
    <w:p w14:paraId="37AEC967" w14:textId="77777777" w:rsidR="00E835C5" w:rsidRPr="006730C1" w:rsidRDefault="00E835C5" w:rsidP="00E835C5">
      <w:pPr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Rozhodnutí Úřadu práce ČR</w:t>
      </w:r>
      <w:r w:rsidRPr="006730C1">
        <w:rPr>
          <w:rFonts w:ascii="Times New Roman" w:hAnsi="Times New Roman"/>
          <w:sz w:val="24"/>
          <w:szCs w:val="24"/>
        </w:rPr>
        <w:t xml:space="preserve"> – krajská pobočka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 w:rsidRPr="006730C1">
        <w:rPr>
          <w:rFonts w:ascii="Times New Roman" w:hAnsi="Times New Roman"/>
          <w:sz w:val="24"/>
          <w:szCs w:val="24"/>
        </w:rPr>
        <w:t xml:space="preserve"> o zamítnutí návrhu na změnu výše přiznaného příspěvku na péči </w:t>
      </w:r>
      <w:r w:rsidRPr="006730C1">
        <w:rPr>
          <w:rFonts w:ascii="Times New Roman" w:hAnsi="Times New Roman"/>
          <w:b/>
          <w:sz w:val="24"/>
          <w:szCs w:val="24"/>
        </w:rPr>
        <w:t xml:space="preserve">ze dne </w:t>
      </w:r>
      <w:r w:rsidRPr="006730C1">
        <w:rPr>
          <w:rFonts w:ascii="Times New Roman" w:hAnsi="Times New Roman"/>
          <w:b/>
          <w:sz w:val="24"/>
          <w:szCs w:val="24"/>
          <w:highlight w:val="yellow"/>
        </w:rPr>
        <w:t>...</w:t>
      </w:r>
      <w:r w:rsidRPr="006730C1">
        <w:rPr>
          <w:rFonts w:ascii="Times New Roman" w:hAnsi="Times New Roman"/>
          <w:sz w:val="24"/>
          <w:szCs w:val="24"/>
        </w:rPr>
        <w:t>, spis. zn.</w:t>
      </w:r>
      <w:proofErr w:type="gramStart"/>
      <w:r w:rsidRPr="006730C1">
        <w:rPr>
          <w:rFonts w:ascii="Times New Roman" w:hAnsi="Times New Roman"/>
          <w:sz w:val="24"/>
          <w:szCs w:val="24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3B5946">
        <w:rPr>
          <w:rFonts w:ascii="Times New Roman" w:hAnsi="Times New Roman"/>
          <w:sz w:val="24"/>
          <w:szCs w:val="24"/>
        </w:rPr>
        <w:t>,</w:t>
      </w:r>
      <w:r w:rsidRPr="006730C1">
        <w:rPr>
          <w:rFonts w:ascii="Times New Roman" w:hAnsi="Times New Roman"/>
          <w:sz w:val="24"/>
          <w:szCs w:val="24"/>
        </w:rPr>
        <w:t xml:space="preserve"> pod č.j.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</w:p>
    <w:p w14:paraId="47715394" w14:textId="77777777" w:rsidR="00E835C5" w:rsidRPr="0063009E" w:rsidRDefault="00E835C5" w:rsidP="00E835C5">
      <w:pPr>
        <w:pStyle w:val="Styl"/>
        <w:numPr>
          <w:ilvl w:val="0"/>
          <w:numId w:val="4"/>
        </w:numPr>
        <w:tabs>
          <w:tab w:val="left" w:pos="709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Řízení o odvolání </w:t>
      </w:r>
      <w:r>
        <w:rPr>
          <w:rFonts w:ascii="Times New Roman" w:hAnsi="Times New Roman"/>
        </w:rPr>
        <w:t xml:space="preserve">ze dne </w:t>
      </w:r>
      <w:r w:rsidRPr="000E22AD">
        <w:rPr>
          <w:rFonts w:ascii="Times New Roman" w:hAnsi="Times New Roman" w:cs="Times New Roman"/>
          <w:highlight w:val="yellow"/>
        </w:rPr>
        <w:t>....</w:t>
      </w:r>
      <w:r>
        <w:rPr>
          <w:rFonts w:ascii="Times New Roman" w:hAnsi="Times New Roman" w:cs="Times New Roman"/>
        </w:rPr>
        <w:t xml:space="preserve"> </w:t>
      </w:r>
      <w:r w:rsidRPr="006730C1">
        <w:rPr>
          <w:rFonts w:ascii="Times New Roman" w:hAnsi="Times New Roman"/>
        </w:rPr>
        <w:t>proti rozhodnutí č.j.</w:t>
      </w:r>
      <w:proofErr w:type="gramStart"/>
      <w:r w:rsidRPr="006730C1">
        <w:rPr>
          <w:rFonts w:ascii="Times New Roman" w:hAnsi="Times New Roman"/>
        </w:rPr>
        <w:t xml:space="preserve"> </w:t>
      </w:r>
      <w:r w:rsidRPr="000E22AD">
        <w:rPr>
          <w:rFonts w:ascii="Times New Roman" w:hAnsi="Times New Roman" w:cs="Times New Roman"/>
          <w:highlight w:val="yellow"/>
        </w:rPr>
        <w:t>....</w:t>
      </w:r>
      <w:proofErr w:type="gramEnd"/>
      <w:r>
        <w:rPr>
          <w:rFonts w:ascii="Times New Roman" w:hAnsi="Times New Roman"/>
        </w:rPr>
        <w:t>,</w:t>
      </w:r>
      <w:r w:rsidRPr="006730C1">
        <w:rPr>
          <w:rFonts w:ascii="Times New Roman" w:hAnsi="Times New Roman"/>
        </w:rPr>
        <w:t xml:space="preserve"> ze dne </w:t>
      </w:r>
      <w:r w:rsidRPr="001E1C21">
        <w:rPr>
          <w:rFonts w:ascii="Times New Roman" w:hAnsi="Times New Roman"/>
          <w:highlight w:val="yellow"/>
        </w:rPr>
        <w:t>......</w:t>
      </w:r>
      <w:r w:rsidRPr="006730C1">
        <w:rPr>
          <w:rFonts w:ascii="Times New Roman" w:hAnsi="Times New Roman"/>
        </w:rPr>
        <w:t>, kterým nebylo vyhověno návrhu na zvýšení příspěvku na péči</w:t>
      </w:r>
    </w:p>
    <w:p w14:paraId="61A02277" w14:textId="77777777" w:rsidR="00E835C5" w:rsidRPr="006730C1" w:rsidRDefault="00E835C5" w:rsidP="00E835C5">
      <w:pPr>
        <w:pStyle w:val="Styl"/>
        <w:numPr>
          <w:ilvl w:val="0"/>
          <w:numId w:val="4"/>
        </w:numPr>
        <w:tabs>
          <w:tab w:val="left" w:pos="709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Pr="006730C1">
        <w:rPr>
          <w:rFonts w:ascii="Times New Roman" w:hAnsi="Times New Roman" w:cs="Times New Roman"/>
          <w:b/>
        </w:rPr>
        <w:t>ozhodnutí Ministerstva práce a sociálních věcí</w:t>
      </w:r>
      <w:r w:rsidRPr="006730C1">
        <w:rPr>
          <w:rFonts w:ascii="Times New Roman" w:hAnsi="Times New Roman" w:cs="Times New Roman"/>
        </w:rPr>
        <w:t xml:space="preserve"> (dále jen „MPSV“) Odbor odvolání a správních činností nepojistných dávek, Referát odvolání a správní agendy se sídlem</w:t>
      </w:r>
      <w:proofErr w:type="gramStart"/>
      <w:r w:rsidRPr="006730C1">
        <w:rPr>
          <w:rFonts w:ascii="Times New Roman" w:hAnsi="Times New Roman" w:cs="Times New Roman"/>
        </w:rPr>
        <w:t xml:space="preserve"> </w:t>
      </w:r>
      <w:r w:rsidRPr="000E22AD">
        <w:rPr>
          <w:rFonts w:ascii="Times New Roman" w:hAnsi="Times New Roman" w:cs="Times New Roman"/>
          <w:highlight w:val="yellow"/>
        </w:rPr>
        <w:t>....</w:t>
      </w:r>
      <w:proofErr w:type="gramEnd"/>
      <w:r w:rsidRPr="006730C1">
        <w:rPr>
          <w:rFonts w:ascii="Times New Roman" w:hAnsi="Times New Roman" w:cs="Times New Roman"/>
        </w:rPr>
        <w:t xml:space="preserve">, ze dne </w:t>
      </w:r>
      <w:r w:rsidRPr="000E22AD">
        <w:rPr>
          <w:rFonts w:ascii="Times New Roman" w:hAnsi="Times New Roman" w:cs="Times New Roman"/>
          <w:highlight w:val="yellow"/>
        </w:rPr>
        <w:t>....</w:t>
      </w:r>
      <w:r w:rsidRPr="006730C1">
        <w:rPr>
          <w:rFonts w:ascii="Times New Roman" w:hAnsi="Times New Roman" w:cs="Times New Roman"/>
        </w:rPr>
        <w:t>, spis. zn.</w:t>
      </w:r>
      <w:proofErr w:type="gramStart"/>
      <w:r w:rsidRPr="006730C1">
        <w:rPr>
          <w:rFonts w:ascii="Times New Roman" w:hAnsi="Times New Roman" w:cs="Times New Roman"/>
        </w:rPr>
        <w:t xml:space="preserve"> </w:t>
      </w:r>
      <w:r w:rsidRPr="000E22AD">
        <w:rPr>
          <w:rFonts w:ascii="Times New Roman" w:hAnsi="Times New Roman" w:cs="Times New Roman"/>
          <w:highlight w:val="yellow"/>
        </w:rPr>
        <w:t>....</w:t>
      </w:r>
      <w:proofErr w:type="gramEnd"/>
      <w:r>
        <w:rPr>
          <w:rFonts w:ascii="Times New Roman" w:hAnsi="Times New Roman" w:cs="Times New Roman"/>
        </w:rPr>
        <w:t xml:space="preserve">, č. j. </w:t>
      </w:r>
      <w:r w:rsidRPr="000E22AD">
        <w:rPr>
          <w:rFonts w:ascii="Times New Roman" w:hAnsi="Times New Roman" w:cs="Times New Roman"/>
          <w:highlight w:val="yellow"/>
        </w:rPr>
        <w:t>....</w:t>
      </w:r>
    </w:p>
    <w:p w14:paraId="575716EE" w14:textId="77777777" w:rsidR="00E835C5" w:rsidRPr="00C62B44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498E2749" w14:textId="77777777" w:rsidR="00822317" w:rsidRPr="00CA7D10" w:rsidRDefault="00822317" w:rsidP="00822317">
      <w:pPr>
        <w:rPr>
          <w:rFonts w:ascii="Times New Roman" w:hAnsi="Times New Roman" w:cs="Times New Roman"/>
          <w:lang w:eastAsia="x-none"/>
        </w:rPr>
      </w:pPr>
    </w:p>
    <w:p w14:paraId="0321C4C5" w14:textId="5712E7D0" w:rsidR="00E835C5" w:rsidRDefault="00E835C5" w:rsidP="00E835C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žádám o odškodnění jednotlivých průtahů v řízení způsobených neučiněním jednotlivých </w:t>
      </w:r>
      <w:r w:rsidRPr="00605E2C">
        <w:rPr>
          <w:rFonts w:ascii="Times New Roman" w:hAnsi="Times New Roman" w:cs="Times New Roman"/>
          <w:sz w:val="24"/>
          <w:szCs w:val="24"/>
        </w:rPr>
        <w:t>úkonů v řízení v přiměřené či zákonné lhůtě.</w:t>
      </w:r>
    </w:p>
    <w:p w14:paraId="41866D6B" w14:textId="77777777" w:rsidR="00E835C5" w:rsidRPr="00776764" w:rsidRDefault="00E835C5" w:rsidP="00E835C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5D207006" w14:textId="77777777" w:rsidR="00E835C5" w:rsidRPr="00776764" w:rsidRDefault="00E835C5" w:rsidP="00E835C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776764">
        <w:rPr>
          <w:rFonts w:ascii="Times New Roman" w:hAnsi="Times New Roman" w:cs="Times New Roman"/>
          <w:b/>
          <w:sz w:val="24"/>
          <w:szCs w:val="24"/>
        </w:rPr>
        <w:t xml:space="preserve">Řízení </w:t>
      </w:r>
      <w:r>
        <w:rPr>
          <w:rFonts w:ascii="Times New Roman" w:hAnsi="Times New Roman" w:cs="Times New Roman"/>
          <w:b/>
          <w:sz w:val="24"/>
          <w:szCs w:val="24"/>
        </w:rPr>
        <w:t xml:space="preserve">o zvýšení příspěvku na péči </w:t>
      </w:r>
      <w:r w:rsidRPr="00776764">
        <w:rPr>
          <w:rFonts w:ascii="Times New Roman" w:hAnsi="Times New Roman" w:cs="Times New Roman"/>
          <w:b/>
          <w:sz w:val="24"/>
          <w:szCs w:val="24"/>
        </w:rPr>
        <w:t>probíhalo následujícím způsobem:</w:t>
      </w:r>
    </w:p>
    <w:p w14:paraId="407671F8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AFEFE21" w14:textId="77777777" w:rsidR="00E835C5" w:rsidRPr="00605E2C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Řízení v první instanci:</w:t>
      </w:r>
    </w:p>
    <w:p w14:paraId="4367F2F5" w14:textId="77777777" w:rsidR="00E835C5" w:rsidRDefault="00E835C5" w:rsidP="00E835C5">
      <w:pPr>
        <w:pStyle w:val="Odstavecseseznamem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dne</w:t>
      </w:r>
      <w:proofErr w:type="gramStart"/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byla podána žádost o </w:t>
      </w:r>
      <w:r w:rsidRPr="008B23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zvýšení/přiznání</w:t>
      </w: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příspěvku na péči. </w:t>
      </w:r>
    </w:p>
    <w:p w14:paraId="05E078F9" w14:textId="77777777" w:rsidR="00E835C5" w:rsidRDefault="00E835C5" w:rsidP="00E835C5">
      <w:pPr>
        <w:pStyle w:val="Odstavecseseznamem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sociální šetření</w:t>
      </w:r>
    </w:p>
    <w:p w14:paraId="0F8DA561" w14:textId="77777777" w:rsidR="00E835C5" w:rsidRDefault="00E835C5" w:rsidP="00E835C5">
      <w:pPr>
        <w:pStyle w:val="Odstavecseseznamem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žádost o vystavení posudku </w:t>
      </w:r>
    </w:p>
    <w:p w14:paraId="480E2133" w14:textId="77777777" w:rsidR="00E835C5" w:rsidRDefault="00E835C5" w:rsidP="00E835C5">
      <w:pPr>
        <w:pStyle w:val="Odstavecseseznamem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Teprve až 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byl vystaven posudek Okresní správy sociálního zabezpečení </w:t>
      </w:r>
      <w:r w:rsidRPr="008B23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605E2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(dále jen „OSSZ“). </w:t>
      </w:r>
    </w:p>
    <w:p w14:paraId="611C8CBF" w14:textId="77777777" w:rsidR="00E835C5" w:rsidRDefault="00E835C5" w:rsidP="00E835C5">
      <w:pPr>
        <w:pStyle w:val="Odstavecseseznamem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416E3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vydání rozhodnutí</w:t>
      </w:r>
    </w:p>
    <w:p w14:paraId="1F5078D2" w14:textId="77777777" w:rsidR="00E835C5" w:rsidRDefault="00E835C5" w:rsidP="00E835C5">
      <w:pPr>
        <w:pStyle w:val="Odstavecseseznamem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6D37C64F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ve druhé instanci:</w:t>
      </w:r>
    </w:p>
    <w:p w14:paraId="0FBFC37B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podané včasné odvolání</w:t>
      </w:r>
    </w:p>
    <w:p w14:paraId="4ABB060C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lastRenderedPageBreak/>
        <w:t>odvolací řízení bylo zahájeno až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; téhož dne požádal odvolací orgán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MPSV </w:t>
      </w:r>
      <w:r w:rsidRPr="008B23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o posouzení stupně závislosti účastnice a přerušil řízení.</w:t>
      </w:r>
    </w:p>
    <w:p w14:paraId="03E3D554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oznámila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MPSV odvolacímu orgánu, že posudek nebude možné vypracovat posudek v zákonné lhůtě z provozních důvodů. </w:t>
      </w:r>
    </w:p>
    <w:p w14:paraId="567B9842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byl podán podnět proti nečinnosti, neboť správní orgán jednotlivě nečinil úkony ve lhůtě.</w:t>
      </w:r>
    </w:p>
    <w:p w14:paraId="5E8D0446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dne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teprve obdržel odvolací orgán posudek vypracovaný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MPSV </w:t>
      </w:r>
      <w:r w:rsidRPr="008B23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ze dne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.</w:t>
      </w:r>
    </w:p>
    <w:p w14:paraId="62E9EBA3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byla podána námitka a následně byl požadován doplňující posudek</w:t>
      </w:r>
    </w:p>
    <w:p w14:paraId="4301AFDF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doplňující posudek</w:t>
      </w:r>
    </w:p>
    <w:p w14:paraId="32C4C7D1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byla podána námitka, pro špatné určení data zvýšení stupně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PNP</w:t>
      </w:r>
      <w:proofErr w:type="spellEnd"/>
      <w:r w:rsidRPr="00F822E0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 následně byl požadován druhý doplňující posudek</w:t>
      </w:r>
    </w:p>
    <w:p w14:paraId="4232738B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vystaven nový posudek</w:t>
      </w:r>
    </w:p>
    <w:p w14:paraId="24877470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vyrozumění o pokračování v řízení</w:t>
      </w:r>
    </w:p>
    <w:p w14:paraId="7B8AB776" w14:textId="77777777" w:rsidR="00E835C5" w:rsidRPr="003F296F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rozhodnutí</w:t>
      </w:r>
    </w:p>
    <w:p w14:paraId="498E274A" w14:textId="04A44AE6" w:rsidR="00822317" w:rsidRDefault="00822317" w:rsidP="00822317">
      <w:pPr>
        <w:rPr>
          <w:rFonts w:ascii="Times New Roman" w:hAnsi="Times New Roman" w:cs="Times New Roman"/>
          <w:lang w:eastAsia="x-none"/>
        </w:rPr>
      </w:pPr>
    </w:p>
    <w:p w14:paraId="1D2A0EA9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Odpovědnost státu za škodu a nemajetkovou újmu je řešena zákonem č. 82/1998 Sb., o odpovědnosti za škodu způsobenou při výkonu veřejné moci rozhodnutím nebo nesprávným úředním postupem a o změně zákona České národní rady č. 358/1992 Sb., o notářích a jejich činnosti (notářský řád). Podle ustanovení § 13 odst. 1 odpovídá stát za škodu způsobenou nesprávným úředním postupem. </w:t>
      </w:r>
      <w:r w:rsidRPr="00EB0DC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Nesprávným úředním postupem je také porušení povinnosti učinit úkon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nebo vydat rozhodnutí v zákonem stanovené lhůtě. Nestanoví-li zákon pro provedení úkonu nebo vydání rozhodnutí žádnou lhůtu, považuje se za nesprávný úřední postup rovněž porušení povinnosti učinit úkon nebo vydat rozhodnutí v přiměřené lhůtě. </w:t>
      </w:r>
    </w:p>
    <w:p w14:paraId="718122B6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Podle ustanovení §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31a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odst. 2 věta první se </w:t>
      </w:r>
      <w:r w:rsidRPr="00EB0DC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zadostiučinění poskytne v penězích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jestliže nemajetkovou újmu nebylo možno nahradit jinak a samotné konstatování porušení práva by nebylo dostačující. </w:t>
      </w:r>
    </w:p>
    <w:p w14:paraId="021D9E9A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455A1E6F" w14:textId="77777777" w:rsidR="00E835C5" w:rsidRPr="007F336C" w:rsidRDefault="00E835C5" w:rsidP="00E835C5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S ohledem na překonané stanovisko kolegia Nejvyššího soudu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zn.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Cpjn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206/2010 ze dne 13.4.2011 (dále jen „stanovisko“) rozsudkem Nejvyššího soudu ČR ze dne 21.3.2018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zn. 30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CDo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1174/2016 nelze žádat náhradu škody za délku celého řízení a pozdně vydaného rozhodnutí, přesto lze žádat jeho užití podpůrně při stanovení výše odškodnění za každý den průtahu. V souladu se stanoviskem lze za každý měsíc průtahu odškodnit částkou </w:t>
      </w: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>ve výši 1 250 Kč, tedy 42 Kč za jeden den průtahu.</w:t>
      </w:r>
    </w:p>
    <w:p w14:paraId="2D4E73C6" w14:textId="77777777" w:rsidR="00E835C5" w:rsidRPr="00D36204" w:rsidRDefault="00E835C5" w:rsidP="00E835C5">
      <w:pPr>
        <w:spacing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S ohledem na rozsudek Nejvyššího soudu ČR ze dne 24.4.2014,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zn. 30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CDo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3271/2012 </w:t>
      </w:r>
      <w:r w:rsidRPr="00D3620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  <w:t>je možné odškodnit jednotlivé průtahy v řízení, a to buď jednotlivě, nebo v jejich souhrnu.</w:t>
      </w:r>
    </w:p>
    <w:p w14:paraId="35BC4F8B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14444E75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Žádám o posouzení jednotlivých průtahů v době posuzování zdravotního stavu ze strany lékařské posudkové služby, jak v první instanci řízení, tak v odvolacím řízení. Dle ustanovení §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16a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odst. 22 zákona č. 582/1991 Sb., ve znění pozdějších předpisů, o organizaci a provádění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lastRenderedPageBreak/>
        <w:t xml:space="preserve">sociálního zabezpečení, lhůta pro vydání posudku podle § 4 odst. 2 činí 60 a pro vydání posudku podle § 8 odst. 1 činí 45 dnů, nestanoví-li orgán, který o posouzení požádal, lhůtu delší, lhůta pro vydání posudku podle § 8 odst. 9 a § 4 odst. 2 činí 60 dnů. </w:t>
      </w:r>
    </w:p>
    <w:p w14:paraId="1B829282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Brání-li posudku ve lhůtě podle věty první závažné důvody, s</w:t>
      </w:r>
      <w:r w:rsidRPr="0047055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dělí orgán sociálního zabezpečení příslušný k posouzení zdravotního stavu neprodleně tyto důvody orgánu, který o posouzení požádal; v těchto případech se lhůta podle věty první prodlužuje o 30 dnů, nestanoví-li orgán, který o posouzení požádal, lhůtu delší.</w:t>
      </w:r>
    </w:p>
    <w:p w14:paraId="7B3B3AF2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2A515F2F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Domnívám se, že v období:</w:t>
      </w:r>
    </w:p>
    <w:p w14:paraId="0EBD5EED" w14:textId="77777777" w:rsidR="00E835C5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od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došlo k porušení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odst. 2 </w:t>
      </w:r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§ </w:t>
      </w:r>
      <w:proofErr w:type="spellStart"/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16a</w:t>
      </w:r>
      <w:proofErr w:type="spellEnd"/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zák.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č. </w:t>
      </w:r>
      <w:r w:rsidRPr="00E70F2D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582/1991 Sb., v platném znění. </w:t>
      </w:r>
    </w:p>
    <w:p w14:paraId="11EF5D34" w14:textId="77777777" w:rsidR="00E835C5" w:rsidRPr="00E70F2D" w:rsidRDefault="00E835C5" w:rsidP="00E835C5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od </w:t>
      </w:r>
      <w:r w:rsidRPr="000E22AD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nebylo požádáno ze strany posudkové služby o prodloužení lhůty a ani ze strany MPSV o určení lhůty delší, než je 60 dnů (dle odst. 2 §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16a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zák. č. 582/1991 Sb., v platném znění s ohledem na § 4 odst. 2 téhož zákona). Ani zde tedy nebyla dodržena lhůta. </w:t>
      </w:r>
    </w:p>
    <w:p w14:paraId="2DDA10DA" w14:textId="6446387E" w:rsidR="00E835C5" w:rsidRDefault="00E835C5" w:rsidP="00822317">
      <w:pPr>
        <w:rPr>
          <w:rFonts w:ascii="Times New Roman" w:hAnsi="Times New Roman" w:cs="Times New Roman"/>
          <w:lang w:eastAsia="x-none"/>
        </w:rPr>
      </w:pPr>
    </w:p>
    <w:p w14:paraId="1AB00FDB" w14:textId="59DF7901" w:rsidR="00E835C5" w:rsidRDefault="00E835C5" w:rsidP="00822317">
      <w:pP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bookmarkStart w:id="0" w:name="_Hlk119064871"/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Domnívám se, že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došlo k celkovým průtahů v </w:t>
      </w:r>
      <w:r w:rsidRPr="00E835C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dnů.</w:t>
      </w:r>
    </w:p>
    <w:p w14:paraId="6D31FC8B" w14:textId="31B250E4" w:rsidR="00E835C5" w:rsidRDefault="00E835C5" w:rsidP="00822317">
      <w:pP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4CCA597D" w14:textId="77777777" w:rsidR="00E835C5" w:rsidRPr="007F336C" w:rsidRDefault="00E835C5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Nejenže nejsou dodržovány lhůty dané správním řádem ani zákonem o organizaci a provádění sociálního zabezpečení, současně nejsou dodržovány ani základní zásady správního řádu:</w:t>
      </w:r>
    </w:p>
    <w:p w14:paraId="09D7DC51" w14:textId="0C0EC291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porušení přijatého řešení v souladu s veřejným zájmem – ochranou zdravotně postižených a rodiny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392BC2FA" w14:textId="2D4AF830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ve skutkově podobných případech není rozhodováno obdobně – při rozhodnutí soudu není brán zřetel na rozsudek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5EE3C975" w14:textId="3020162A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není zjišťován stav, o němž nejsou důvodné pochybnosti, když správní orgán sám zpochybňuje své podklady pro rozhodnutí a jiné nezajišťuje, přestože má zmocnění v zákoně (např. posudky odborných lékařů)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63B48922" w14:textId="59FF2318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neplní službu veřejnosti a nevychází dotčeným osobám vstříc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1FFDD251" w14:textId="2BF247C1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neumožňuje v dostatečné míře uplatňovat naše práva a oprávněné zájmy tím, že ignoruje rozhodnutí soudu ve věci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677A35A8" w14:textId="08B79082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smírčím způsobem nejsou odstraněny rozpory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56694BC4" w14:textId="052F7318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správní orgán nevyřizuje věci bez zbytečných průtahů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</w:p>
    <w:p w14:paraId="20D5FFFD" w14:textId="78FF9914" w:rsidR="00E835C5" w:rsidRPr="007F336C" w:rsidRDefault="00E835C5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správní orgán nepostupuje tak, aby nikomu nevznikaly zbytečné náklady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.</w:t>
      </w:r>
    </w:p>
    <w:p w14:paraId="442481A3" w14:textId="20E506CF" w:rsidR="00E835C5" w:rsidRDefault="00E835C5" w:rsidP="00822317">
      <w:pP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267B25CB" w14:textId="77777777" w:rsidR="00E835C5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epřiznání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žádaného </w:t>
      </w:r>
      <w:r w:rsidRPr="008B235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x-none"/>
        </w:rPr>
        <w:t>navýšení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příspěvku na péči v řádné lhůtě 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zásadním způsobem 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vlivňovalo 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psychický stav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pečující osoby i osoby závislé na péči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neboť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pečující osoba celé řízení vedla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a 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musel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věnovat opravdu velké úsilí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,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a to nejen finanční (poštovné, telefonáty, konzultace s právníkem, cesty k lékařům, pro další a další zprávy), ale především psychické, kdy musel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svůj čas věnovat obhajobě zjevných nároků, na místo aby se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věnovala jiné účelné činnosti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T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ato nadměrná byrokratická zátěž 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e vždy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velmi vyčerpáva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jící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což se samozřejmě odráželo 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lastRenderedPageBreak/>
        <w:t xml:space="preserve">celkové péči o osobu závislou a plnění další úkolů. Jde o zásadní nemajetkovou (psychickou) újmu. </w:t>
      </w:r>
    </w:p>
    <w:p w14:paraId="5D659A69" w14:textId="77777777" w:rsidR="00E835C5" w:rsidRPr="00C62B44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1DE19ACB" w14:textId="77777777" w:rsidR="00E835C5" w:rsidRPr="00C62B44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Z tohoto důvodu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došlo k 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zásadn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ímu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poškozen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í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na nemajetkových právech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závislé osoby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. Správní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m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orgán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em pověřená posudková služba 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nerozhodoval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a ve správních zákonných lhůtách, byla nečinná. </w:t>
      </w:r>
    </w:p>
    <w:p w14:paraId="72FC1FC1" w14:textId="77777777" w:rsidR="00E835C5" w:rsidRPr="00E60FAA" w:rsidRDefault="00E835C5" w:rsidP="00E835C5">
      <w:pPr>
        <w:spacing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14:paraId="4D5B304A" w14:textId="77777777" w:rsidR="00E835C5" w:rsidRPr="00C62B44" w:rsidRDefault="00E835C5" w:rsidP="00E835C5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Tyto průtahy v řízení jsou nemyslitelné a zásadním způsobem poškozují ústavní práva na sociální pomoc a zajištění státem, za splnění zákonných podmínek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v časově omezené lhůtě</w:t>
      </w:r>
      <w:r w:rsidRPr="00C62B44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</w:t>
      </w:r>
    </w:p>
    <w:p w14:paraId="0D42E6FA" w14:textId="77777777" w:rsidR="00E835C5" w:rsidRPr="007F336C" w:rsidRDefault="00E835C5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bookmarkEnd w:id="0"/>
    <w:p w14:paraId="1A66B6C1" w14:textId="2973AEDB" w:rsidR="00E835C5" w:rsidRPr="007F336C" w:rsidRDefault="00E835C5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Opakovaně js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e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m situaci řešil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s pobočkou ÚP a MPSV, byl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js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em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nucen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a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k dalším a dalším návštěvám těchto úřadů. </w:t>
      </w:r>
    </w:p>
    <w:p w14:paraId="717DB857" w14:textId="3420BD52" w:rsidR="00E835C5" w:rsidRPr="007F336C" w:rsidRDefault="00E835C5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Průtahy v řízení </w:t>
      </w:r>
      <w:r w:rsid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nás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 nad míru stresují. Nejistota konečného rozhodnutí, značně snižuje lidský komfort a v naší domácnosti navozuje často více stresových situací. </w:t>
      </w:r>
    </w:p>
    <w:p w14:paraId="498E2772" w14:textId="77777777" w:rsidR="00822317" w:rsidRPr="007F336C" w:rsidRDefault="00822317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14:paraId="498E2777" w14:textId="77777777" w:rsidR="00822317" w:rsidRPr="007F336C" w:rsidRDefault="00822317" w:rsidP="007F336C"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Díky tomu, že Úřad práce nekonal v souladu se správním řádem (především nedodržením § 71 zák. č. 500/2004 Sb.), byl zjevně nečinný a nekonal potřebné úkony ke zdárnému vyřešení správního řízení, nebylo možné posoudit nárok na příspěvek na péči včas a řádně.</w:t>
      </w:r>
    </w:p>
    <w:p w14:paraId="498E2778" w14:textId="77777777" w:rsidR="00822317" w:rsidRPr="00CA7D10" w:rsidRDefault="00822317" w:rsidP="00822317">
      <w:pPr>
        <w:rPr>
          <w:rFonts w:ascii="Times New Roman" w:hAnsi="Times New Roman" w:cs="Times New Roman"/>
          <w:lang w:eastAsia="x-none"/>
        </w:rPr>
      </w:pPr>
    </w:p>
    <w:p w14:paraId="498E2779" w14:textId="4B436AF2" w:rsidR="00822317" w:rsidRPr="007F336C" w:rsidRDefault="00822317" w:rsidP="007F336C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 xml:space="preserve">Z tohoto důvodu </w:t>
      </w:r>
      <w:r w:rsid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>nám</w:t>
      </w: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 xml:space="preserve"> vznikla </w:t>
      </w:r>
      <w:r w:rsidR="007F336C"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 xml:space="preserve">také </w:t>
      </w: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>následná majetková škoda:</w:t>
      </w:r>
    </w:p>
    <w:p w14:paraId="498E277A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díky špatně přiznanému příspěvku na péči v rozporu se soudním rozhodnutím mi není doba péče řádně a v plné výši započtena do důchodu (jako pečující osobě) </w:t>
      </w:r>
    </w:p>
    <w:p w14:paraId="498E277B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náklady za telefon při urgování nečinnosti ÚP ve výši .... Kč </w:t>
      </w:r>
      <w:r w:rsidRPr="007F3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x-none"/>
        </w:rPr>
        <w:t>/přesně vyčíslete/</w:t>
      </w: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. </w:t>
      </w:r>
    </w:p>
    <w:p w14:paraId="498E277C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náklady na vystavení dodatečného lékařského nálezu ve výši .... Kč.</w:t>
      </w:r>
    </w:p>
    <w:p w14:paraId="498E277D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náklady spojené s návštěvou správního orgánu a alternativním zajištění péče v době mé nepřítomnosti ve výši .... Kč</w:t>
      </w:r>
    </w:p>
    <w:p w14:paraId="498E277E" w14:textId="77777777" w:rsidR="00822317" w:rsidRPr="001A0141" w:rsidRDefault="00822317" w:rsidP="00822317">
      <w:pPr>
        <w:rPr>
          <w:rFonts w:ascii="Times New Roman" w:hAnsi="Times New Roman" w:cs="Times New Roman"/>
          <w:lang w:eastAsia="x-none"/>
        </w:rPr>
      </w:pPr>
    </w:p>
    <w:p w14:paraId="498E277F" w14:textId="77777777" w:rsidR="00822317" w:rsidRPr="007F336C" w:rsidRDefault="00822317" w:rsidP="007F336C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>Důkazy:</w:t>
      </w:r>
    </w:p>
    <w:p w14:paraId="498E2780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faktury mobilního operátora</w:t>
      </w:r>
    </w:p>
    <w:p w14:paraId="498E2781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lékařský nález </w:t>
      </w:r>
    </w:p>
    <w:p w14:paraId="498E2782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účtenka za vystavení nálezu</w:t>
      </w:r>
    </w:p>
    <w:p w14:paraId="498E2783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doklady / jízdenky</w:t>
      </w:r>
    </w:p>
    <w:p w14:paraId="498E2784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účtenka za sociální službu v době nepřítomnosti </w:t>
      </w:r>
      <w:r w:rsidRPr="007F3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x-none"/>
        </w:rPr>
        <w:t>/pokud existuje/</w:t>
      </w:r>
    </w:p>
    <w:p w14:paraId="498E2785" w14:textId="77777777" w:rsidR="00822317" w:rsidRPr="001A0141" w:rsidRDefault="00822317" w:rsidP="00822317">
      <w:pPr>
        <w:rPr>
          <w:rFonts w:ascii="Times New Roman" w:hAnsi="Times New Roman" w:cs="Times New Roman"/>
          <w:lang w:eastAsia="x-none"/>
        </w:rPr>
      </w:pPr>
    </w:p>
    <w:p w14:paraId="241506A8" w14:textId="77777777" w:rsidR="00ED7A03" w:rsidRPr="001A0141" w:rsidRDefault="00ED7A03" w:rsidP="00822317">
      <w:pPr>
        <w:rPr>
          <w:rFonts w:ascii="Times New Roman" w:hAnsi="Times New Roman" w:cs="Times New Roman"/>
          <w:lang w:eastAsia="x-none"/>
        </w:rPr>
      </w:pPr>
    </w:p>
    <w:p w14:paraId="24885B11" w14:textId="04ACF6C5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b/>
          <w:color w:val="000000" w:themeColor="text1"/>
        </w:rPr>
      </w:pPr>
      <w:r w:rsidRPr="00C62B44">
        <w:rPr>
          <w:rFonts w:ascii="Times New Roman" w:hAnsi="Times New Roman"/>
          <w:b/>
          <w:color w:val="000000" w:themeColor="text1"/>
        </w:rPr>
        <w:t>Za utrpěnou nemajetkovou újmu žádám přiměřené zadostiučinění v</w:t>
      </w:r>
      <w:r>
        <w:rPr>
          <w:rFonts w:ascii="Times New Roman" w:hAnsi="Times New Roman"/>
          <w:b/>
          <w:color w:val="000000" w:themeColor="text1"/>
        </w:rPr>
        <w:t> </w:t>
      </w:r>
      <w:bookmarkStart w:id="1" w:name="_Hlk119065085"/>
      <w:r w:rsidRPr="00C62B44">
        <w:rPr>
          <w:rFonts w:ascii="Times New Roman" w:hAnsi="Times New Roman"/>
          <w:b/>
          <w:color w:val="000000" w:themeColor="text1"/>
        </w:rPr>
        <w:t>penězích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7F336C">
        <w:rPr>
          <w:rFonts w:ascii="Times New Roman" w:hAnsi="Times New Roman"/>
          <w:b/>
          <w:color w:val="000000" w:themeColor="text1"/>
          <w:highlight w:val="yellow"/>
        </w:rPr>
        <w:t>...</w:t>
      </w:r>
      <w:r>
        <w:rPr>
          <w:rFonts w:ascii="Times New Roman" w:hAnsi="Times New Roman"/>
          <w:b/>
          <w:color w:val="000000" w:themeColor="text1"/>
        </w:rPr>
        <w:t xml:space="preserve"> dnů × 42 Kč za den průtahů</w:t>
      </w:r>
      <w:bookmarkEnd w:id="1"/>
      <w:r w:rsidRPr="00C62B44">
        <w:rPr>
          <w:rFonts w:ascii="Times New Roman" w:hAnsi="Times New Roman"/>
          <w:b/>
          <w:color w:val="000000" w:themeColor="text1"/>
        </w:rPr>
        <w:t xml:space="preserve">, </w:t>
      </w:r>
      <w:r>
        <w:rPr>
          <w:rFonts w:ascii="Times New Roman" w:hAnsi="Times New Roman"/>
          <w:b/>
          <w:color w:val="000000" w:themeColor="text1"/>
        </w:rPr>
        <w:t xml:space="preserve">tj. </w:t>
      </w:r>
      <w:r w:rsidRPr="00071923">
        <w:rPr>
          <w:rFonts w:ascii="Times New Roman" w:hAnsi="Times New Roman"/>
          <w:b/>
          <w:color w:val="000000" w:themeColor="text1"/>
          <w:highlight w:val="yellow"/>
        </w:rPr>
        <w:t>...</w:t>
      </w:r>
      <w:r>
        <w:rPr>
          <w:rFonts w:ascii="Times New Roman" w:hAnsi="Times New Roman"/>
          <w:b/>
          <w:color w:val="000000" w:themeColor="text1"/>
        </w:rPr>
        <w:t xml:space="preserve"> Kč</w:t>
      </w:r>
      <w:r w:rsidRPr="00C62B44">
        <w:rPr>
          <w:rFonts w:ascii="Times New Roman" w:hAnsi="Times New Roman"/>
          <w:b/>
          <w:color w:val="000000" w:themeColor="text1"/>
        </w:rPr>
        <w:t xml:space="preserve">, neboť se domnívám, že samotné konstatování porušení práva </w:t>
      </w:r>
      <w:r>
        <w:rPr>
          <w:rFonts w:ascii="Times New Roman" w:hAnsi="Times New Roman"/>
          <w:b/>
          <w:color w:val="000000" w:themeColor="text1"/>
        </w:rPr>
        <w:t xml:space="preserve">zpětně nezhojí stres a nejistotu, která byla protiprávním postupem způsobena. Zároveň nebude vrácen čas, který byl nad míru věnován zajišťováním dalšího a dalšího podkladu pro řízení/posouzení. </w:t>
      </w:r>
    </w:p>
    <w:p w14:paraId="43532DCE" w14:textId="691107DB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b/>
          <w:color w:val="000000" w:themeColor="text1"/>
        </w:rPr>
      </w:pPr>
    </w:p>
    <w:p w14:paraId="4D675C76" w14:textId="074D1FFF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b/>
          <w:color w:val="000000" w:themeColor="text1"/>
        </w:rPr>
      </w:pPr>
      <w:r w:rsidRPr="00C62B44">
        <w:rPr>
          <w:rFonts w:ascii="Times New Roman" w:hAnsi="Times New Roman"/>
          <w:b/>
          <w:color w:val="000000" w:themeColor="text1"/>
        </w:rPr>
        <w:t xml:space="preserve">Za utrpěnou </w:t>
      </w:r>
      <w:r>
        <w:rPr>
          <w:rFonts w:ascii="Times New Roman" w:hAnsi="Times New Roman"/>
          <w:b/>
          <w:color w:val="000000" w:themeColor="text1"/>
        </w:rPr>
        <w:t xml:space="preserve">a podloženou </w:t>
      </w:r>
      <w:r w:rsidRPr="00C62B44">
        <w:rPr>
          <w:rFonts w:ascii="Times New Roman" w:hAnsi="Times New Roman"/>
          <w:b/>
          <w:color w:val="000000" w:themeColor="text1"/>
        </w:rPr>
        <w:t>majetkovou újmu žádám přiměřené zadostiučinění v</w:t>
      </w:r>
      <w:r>
        <w:rPr>
          <w:rFonts w:ascii="Times New Roman" w:hAnsi="Times New Roman"/>
          <w:b/>
          <w:color w:val="000000" w:themeColor="text1"/>
        </w:rPr>
        <w:t> </w:t>
      </w:r>
      <w:r w:rsidRPr="00C62B44">
        <w:rPr>
          <w:rFonts w:ascii="Times New Roman" w:hAnsi="Times New Roman"/>
          <w:b/>
          <w:color w:val="000000" w:themeColor="text1"/>
        </w:rPr>
        <w:t>penězích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7F336C">
        <w:rPr>
          <w:rFonts w:ascii="Times New Roman" w:hAnsi="Times New Roman"/>
          <w:b/>
          <w:color w:val="000000" w:themeColor="text1"/>
          <w:highlight w:val="yellow"/>
        </w:rPr>
        <w:t>...</w:t>
      </w:r>
      <w:r>
        <w:rPr>
          <w:rFonts w:ascii="Times New Roman" w:hAnsi="Times New Roman"/>
          <w:b/>
          <w:color w:val="000000" w:themeColor="text1"/>
        </w:rPr>
        <w:t xml:space="preserve"> Kč. </w:t>
      </w:r>
      <w:r w:rsidR="00650388">
        <w:rPr>
          <w:rFonts w:ascii="Times New Roman" w:hAnsi="Times New Roman"/>
          <w:b/>
          <w:color w:val="000000" w:themeColor="text1"/>
        </w:rPr>
        <w:t xml:space="preserve"> </w:t>
      </w:r>
      <w:r w:rsidR="00EE5E53">
        <w:rPr>
          <w:rFonts w:ascii="Times New Roman" w:hAnsi="Times New Roman"/>
          <w:b/>
          <w:color w:val="000000" w:themeColor="text1"/>
        </w:rPr>
        <w:t xml:space="preserve">  </w:t>
      </w:r>
    </w:p>
    <w:p w14:paraId="1E1A6309" w14:textId="77777777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b/>
          <w:color w:val="000000" w:themeColor="text1"/>
        </w:rPr>
      </w:pPr>
    </w:p>
    <w:p w14:paraId="75560B29" w14:textId="0172073B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  <w:r w:rsidRPr="00C62B44">
        <w:rPr>
          <w:rFonts w:ascii="Times New Roman" w:hAnsi="Times New Roman"/>
          <w:color w:val="000000" w:themeColor="text1"/>
        </w:rPr>
        <w:t>Js</w:t>
      </w:r>
      <w:r>
        <w:rPr>
          <w:rFonts w:ascii="Times New Roman" w:hAnsi="Times New Roman"/>
          <w:color w:val="000000" w:themeColor="text1"/>
        </w:rPr>
        <w:t>e</w:t>
      </w:r>
      <w:r w:rsidRPr="00C62B44">
        <w:rPr>
          <w:rFonts w:ascii="Times New Roman" w:hAnsi="Times New Roman"/>
          <w:color w:val="000000" w:themeColor="text1"/>
        </w:rPr>
        <w:t>m si vědom</w:t>
      </w:r>
      <w:r>
        <w:rPr>
          <w:rFonts w:ascii="Times New Roman" w:hAnsi="Times New Roman"/>
          <w:color w:val="000000" w:themeColor="text1"/>
        </w:rPr>
        <w:t>a</w:t>
      </w:r>
      <w:r w:rsidRPr="00C62B44">
        <w:rPr>
          <w:rFonts w:ascii="Times New Roman" w:hAnsi="Times New Roman"/>
          <w:color w:val="000000" w:themeColor="text1"/>
        </w:rPr>
        <w:t xml:space="preserve">, že nemajetková újma se oceňuje velmi špatně, zvláště v době, kdy ceny telefonních rozhovorů, urgencí, zjišťování informací prostřednictvím webových portálů a neziskových organizací, cestování po lékařích nelze náležitě doložit. Je tedy třeba hodnotit především čas a energii do tohoto řízení investované a stres, který nastalou situací vzniknul. Právě z tohoto důvodu </w:t>
      </w:r>
      <w:r>
        <w:rPr>
          <w:rFonts w:ascii="Times New Roman" w:hAnsi="Times New Roman"/>
          <w:color w:val="000000" w:themeColor="text1"/>
        </w:rPr>
        <w:t>žádám o docenění</w:t>
      </w:r>
      <w:r w:rsidRPr="00C62B4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62B44">
        <w:rPr>
          <w:rFonts w:ascii="Times New Roman" w:hAnsi="Times New Roman"/>
          <w:color w:val="000000" w:themeColor="text1"/>
        </w:rPr>
        <w:t>stresovost</w:t>
      </w:r>
      <w:r>
        <w:rPr>
          <w:rFonts w:ascii="Times New Roman" w:hAnsi="Times New Roman"/>
          <w:color w:val="000000" w:themeColor="text1"/>
        </w:rPr>
        <w:t>i</w:t>
      </w:r>
      <w:proofErr w:type="spellEnd"/>
      <w:r w:rsidRPr="00C62B44">
        <w:rPr>
          <w:rFonts w:ascii="Times New Roman" w:hAnsi="Times New Roman"/>
          <w:color w:val="000000" w:themeColor="text1"/>
        </w:rPr>
        <w:t xml:space="preserve"> období, </w:t>
      </w:r>
      <w:r>
        <w:rPr>
          <w:rFonts w:ascii="Times New Roman" w:hAnsi="Times New Roman"/>
          <w:color w:val="000000" w:themeColor="text1"/>
        </w:rPr>
        <w:t xml:space="preserve">kdy nebyly jednotlivé správní úkony činěny v čas. </w:t>
      </w:r>
    </w:p>
    <w:p w14:paraId="00F71B42" w14:textId="77777777" w:rsidR="007F336C" w:rsidRPr="00C62B44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22DD7417" w14:textId="55AD1733" w:rsidR="007F336C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Náhradu </w:t>
      </w:r>
      <w:r w:rsidRPr="00C62B44">
        <w:rPr>
          <w:rFonts w:ascii="Times New Roman" w:hAnsi="Times New Roman"/>
          <w:color w:val="000000" w:themeColor="text1"/>
        </w:rPr>
        <w:t xml:space="preserve">nemajetkové </w:t>
      </w:r>
      <w:r>
        <w:rPr>
          <w:rFonts w:ascii="Times New Roman" w:hAnsi="Times New Roman"/>
          <w:color w:val="000000" w:themeColor="text1"/>
        </w:rPr>
        <w:t xml:space="preserve">a majetkové </w:t>
      </w:r>
      <w:r>
        <w:rPr>
          <w:rFonts w:ascii="Times New Roman" w:hAnsi="Times New Roman"/>
          <w:color w:val="000000" w:themeColor="text1"/>
        </w:rPr>
        <w:t>újmy</w:t>
      </w:r>
      <w:r>
        <w:rPr>
          <w:rFonts w:ascii="Times New Roman" w:hAnsi="Times New Roman"/>
          <w:color w:val="000000" w:themeColor="text1"/>
        </w:rPr>
        <w:t xml:space="preserve"> ve výši </w:t>
      </w:r>
      <w:r w:rsidRPr="007F336C">
        <w:rPr>
          <w:rFonts w:ascii="Times New Roman" w:hAnsi="Times New Roman"/>
          <w:color w:val="000000" w:themeColor="text1"/>
          <w:highlight w:val="yellow"/>
        </w:rPr>
        <w:t>...</w:t>
      </w:r>
      <w:r>
        <w:rPr>
          <w:rFonts w:ascii="Times New Roman" w:hAnsi="Times New Roman"/>
          <w:color w:val="000000" w:themeColor="text1"/>
        </w:rPr>
        <w:t xml:space="preserve"> Kč</w:t>
      </w:r>
      <w:r w:rsidRPr="00C62B44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 xml:space="preserve">prosím, </w:t>
      </w:r>
      <w:r w:rsidRPr="00C62B44">
        <w:rPr>
          <w:rFonts w:ascii="Times New Roman" w:hAnsi="Times New Roman"/>
          <w:color w:val="000000" w:themeColor="text1"/>
        </w:rPr>
        <w:t xml:space="preserve">proveďte na účet číslo: </w:t>
      </w:r>
      <w:r w:rsidRPr="00C62B44">
        <w:rPr>
          <w:rFonts w:ascii="Times New Roman" w:hAnsi="Times New Roman"/>
          <w:color w:val="000000" w:themeColor="text1"/>
          <w:highlight w:val="yellow"/>
        </w:rPr>
        <w:t>………………………………………</w:t>
      </w:r>
      <w:r w:rsidRPr="00C62B44">
        <w:rPr>
          <w:rFonts w:ascii="Times New Roman" w:hAnsi="Times New Roman"/>
          <w:color w:val="000000" w:themeColor="text1"/>
        </w:rPr>
        <w:t>….</w:t>
      </w:r>
    </w:p>
    <w:p w14:paraId="6C5FD3E5" w14:textId="3350E643" w:rsidR="00ED7A03" w:rsidRDefault="00ED7A03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0ABDD931" w14:textId="1C4AE479" w:rsidR="00A064DC" w:rsidRPr="00A064DC" w:rsidRDefault="00ED7A03" w:rsidP="00A064DC">
      <w:pPr>
        <w:pStyle w:val="Normln-web"/>
        <w:spacing w:before="0" w:line="312" w:lineRule="auto"/>
        <w:rPr>
          <w:rFonts w:ascii="Times New Roman" w:hAnsi="Times New Roman"/>
          <w:i/>
          <w:iCs/>
          <w:color w:val="000000" w:themeColor="text1"/>
        </w:rPr>
      </w:pPr>
      <w:r w:rsidRPr="00A064DC">
        <w:rPr>
          <w:rFonts w:ascii="Times New Roman" w:hAnsi="Times New Roman"/>
          <w:i/>
          <w:iCs/>
          <w:color w:val="000000" w:themeColor="text1"/>
        </w:rPr>
        <w:t xml:space="preserve">Jsem si vědoma, že náhradu škody uplatňuji jako pečující osoba za zemřelého žadatele. Svůj zákonný nárok opírám o § 16 zák. 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o sociálních službách, v platném znění a rozhodnutí 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4 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Ads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 32/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2012–50, 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>Řízení před soudem: procesní nástupnictví po zemřelé žalobkyni; právo sociálního zabezpečení: příspěvek na péči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>,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>p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odle usnesení rozšířeného senátu Nejvyššího správního soudu ze dne 1. 4. 2014, čj. 4 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Ads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 32/2012-50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; a 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p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>rejudikatur</w:t>
      </w:r>
      <w:r w:rsidR="00A064DC" w:rsidRPr="00A064DC">
        <w:rPr>
          <w:rFonts w:ascii="Times New Roman" w:hAnsi="Times New Roman"/>
          <w:i/>
          <w:iCs/>
          <w:color w:val="000000" w:themeColor="text1"/>
        </w:rPr>
        <w:t>y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: č. 2206/2011 Sb. 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NSS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 a č. 2315/2011 Sb. 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NSS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>; nález Ústavního soudu č. 100/2012 Sb. ÚS (</w:t>
      </w:r>
      <w:proofErr w:type="spellStart"/>
      <w:r w:rsidR="00A064DC" w:rsidRPr="00A064DC">
        <w:rPr>
          <w:rFonts w:ascii="Times New Roman" w:hAnsi="Times New Roman"/>
          <w:i/>
          <w:iCs/>
          <w:color w:val="000000" w:themeColor="text1"/>
        </w:rPr>
        <w:t>sp</w:t>
      </w:r>
      <w:proofErr w:type="spellEnd"/>
      <w:r w:rsidR="00A064DC" w:rsidRPr="00A064DC">
        <w:rPr>
          <w:rFonts w:ascii="Times New Roman" w:hAnsi="Times New Roman"/>
          <w:i/>
          <w:iCs/>
          <w:color w:val="000000" w:themeColor="text1"/>
        </w:rPr>
        <w:t xml:space="preserve">. zn. III. ÚS 3069/10). </w:t>
      </w:r>
    </w:p>
    <w:p w14:paraId="419E6BBC" w14:textId="3041E1B4" w:rsidR="00ED7A03" w:rsidRPr="00C62B44" w:rsidRDefault="00ED7A03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24BB6A47" w14:textId="77777777" w:rsidR="007F336C" w:rsidRPr="00C62B44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44E8F58E" w14:textId="77777777" w:rsidR="007F336C" w:rsidRPr="00C62B44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  <w:r w:rsidRPr="00C62B44">
        <w:rPr>
          <w:rFonts w:ascii="Times New Roman" w:hAnsi="Times New Roman"/>
          <w:color w:val="000000" w:themeColor="text1"/>
        </w:rPr>
        <w:t>S pozdravem</w:t>
      </w:r>
    </w:p>
    <w:p w14:paraId="38211CEB" w14:textId="77777777" w:rsidR="007F336C" w:rsidRPr="00C62B44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695F3ABC" w14:textId="77777777" w:rsidR="007F336C" w:rsidRDefault="007F336C" w:rsidP="007F336C">
      <w:pPr>
        <w:pStyle w:val="Normln-web"/>
        <w:tabs>
          <w:tab w:val="left" w:pos="5103"/>
        </w:tabs>
        <w:spacing w:before="0" w:line="312" w:lineRule="auto"/>
        <w:rPr>
          <w:rFonts w:ascii="Times New Roman" w:hAnsi="Times New Roman"/>
        </w:rPr>
      </w:pPr>
      <w:r w:rsidRPr="00032DC5">
        <w:rPr>
          <w:rFonts w:ascii="Times New Roman" w:hAnsi="Times New Roman"/>
          <w:i/>
          <w:color w:val="000000" w:themeColor="text1"/>
        </w:rPr>
        <w:tab/>
      </w:r>
    </w:p>
    <w:p w14:paraId="055D3690" w14:textId="77777777" w:rsidR="007F336C" w:rsidRDefault="007F336C" w:rsidP="007F336C">
      <w:pPr>
        <w:pStyle w:val="Styl"/>
        <w:tabs>
          <w:tab w:val="left" w:pos="2127"/>
          <w:tab w:val="left" w:pos="3686"/>
        </w:tabs>
        <w:ind w:left="2127" w:hanging="2127"/>
        <w:rPr>
          <w:rFonts w:ascii="Times New Roman" w:hAnsi="Times New Roman"/>
        </w:rPr>
      </w:pPr>
    </w:p>
    <w:p w14:paraId="6402D3E1" w14:textId="77777777" w:rsidR="007F336C" w:rsidRPr="00C62B44" w:rsidRDefault="007F336C" w:rsidP="007F336C">
      <w:pPr>
        <w:pStyle w:val="Normln-web"/>
        <w:spacing w:before="0" w:line="312" w:lineRule="auto"/>
        <w:rPr>
          <w:rFonts w:ascii="Times New Roman" w:hAnsi="Times New Roman"/>
          <w:color w:val="000000" w:themeColor="text1"/>
        </w:rPr>
      </w:pPr>
    </w:p>
    <w:p w14:paraId="5B8746F6" w14:textId="76003ADE" w:rsidR="007F336C" w:rsidRPr="00032DC5" w:rsidRDefault="007F336C" w:rsidP="007F336C">
      <w:pPr>
        <w:pStyle w:val="Normln-web"/>
        <w:tabs>
          <w:tab w:val="left" w:pos="5103"/>
        </w:tabs>
        <w:spacing w:before="0" w:line="312" w:lineRule="auto"/>
        <w:rPr>
          <w:rFonts w:ascii="Times New Roman" w:hAnsi="Times New Roman"/>
          <w:i/>
          <w:color w:val="000000" w:themeColor="text1"/>
        </w:rPr>
      </w:pPr>
      <w:r w:rsidRPr="00032DC5">
        <w:rPr>
          <w:rFonts w:ascii="Times New Roman" w:hAnsi="Times New Roman"/>
          <w:i/>
          <w:color w:val="000000" w:themeColor="text1"/>
        </w:rPr>
        <w:tab/>
      </w:r>
      <w:r>
        <w:rPr>
          <w:rFonts w:ascii="Times New Roman" w:hAnsi="Times New Roman"/>
          <w:i/>
          <w:color w:val="000000" w:themeColor="text1"/>
          <w:highlight w:val="yellow"/>
        </w:rPr>
        <w:t xml:space="preserve">podpis </w:t>
      </w:r>
    </w:p>
    <w:p w14:paraId="498E279A" w14:textId="77777777" w:rsidR="00822317" w:rsidRPr="001A0141" w:rsidRDefault="00822317" w:rsidP="00822317">
      <w:pPr>
        <w:pStyle w:val="Nadpis3"/>
        <w:spacing w:before="0"/>
        <w:rPr>
          <w:rFonts w:ascii="Times New Roman" w:hAnsi="Times New Roman"/>
          <w:sz w:val="22"/>
          <w:szCs w:val="22"/>
        </w:rPr>
      </w:pPr>
    </w:p>
    <w:p w14:paraId="498E27A1" w14:textId="01773F8E" w:rsidR="00822317" w:rsidRPr="001A0141" w:rsidRDefault="00822317" w:rsidP="00822317">
      <w:pPr>
        <w:ind w:left="5103"/>
        <w:rPr>
          <w:rFonts w:ascii="Times New Roman" w:hAnsi="Times New Roman" w:cs="Times New Roman"/>
          <w:lang w:eastAsia="x-none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jméno</w:t>
      </w:r>
      <w:r w:rsidR="007F336C"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="007F336C">
        <w:rPr>
          <w:rFonts w:ascii="Times New Roman" w:hAnsi="Times New Roman" w:cs="Times New Roman"/>
          <w:lang w:eastAsia="x-none"/>
        </w:rPr>
        <w:t xml:space="preserve"> 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498E27A2" w14:textId="56CDDF69" w:rsidR="00822317" w:rsidRPr="001A0141" w:rsidRDefault="00822317" w:rsidP="00822317">
      <w:pPr>
        <w:ind w:left="5103"/>
        <w:rPr>
          <w:rFonts w:ascii="Times New Roman" w:hAnsi="Times New Roman" w:cs="Times New Roman"/>
          <w:lang w:eastAsia="x-none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nar.</w:t>
      </w:r>
      <w:r w:rsidR="007F336C"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Pr="001A0141">
        <w:rPr>
          <w:rFonts w:ascii="Times New Roman" w:hAnsi="Times New Roman" w:cs="Times New Roman"/>
          <w:lang w:eastAsia="x-none"/>
        </w:rPr>
        <w:t xml:space="preserve"> 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498E27A3" w14:textId="394D34EF" w:rsidR="00822317" w:rsidRPr="001A0141" w:rsidRDefault="00822317" w:rsidP="00822317">
      <w:pPr>
        <w:ind w:left="5103"/>
        <w:rPr>
          <w:rFonts w:ascii="Times New Roman" w:hAnsi="Times New Roman" w:cs="Times New Roman"/>
          <w:lang w:eastAsia="x-none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bydliště</w:t>
      </w:r>
      <w:r w:rsidR="007F336C"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 xml:space="preserve"> 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498E27A4" w14:textId="7C2377AC" w:rsidR="00822317" w:rsidRPr="001A0141" w:rsidRDefault="00822317" w:rsidP="00822317">
      <w:pPr>
        <w:ind w:left="5103"/>
        <w:rPr>
          <w:rFonts w:ascii="Times New Roman" w:hAnsi="Times New Roman" w:cs="Times New Roman"/>
          <w:lang w:eastAsia="x-none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mobil:</w:t>
      </w:r>
      <w:r w:rsidR="007F336C">
        <w:rPr>
          <w:rFonts w:ascii="Times New Roman" w:hAnsi="Times New Roman" w:cs="Times New Roman"/>
          <w:lang w:eastAsia="x-none"/>
        </w:rPr>
        <w:t xml:space="preserve"> 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498E27A5" w14:textId="249559F8" w:rsidR="00822317" w:rsidRDefault="00822317" w:rsidP="00822317">
      <w:pPr>
        <w:ind w:left="5103"/>
        <w:rPr>
          <w:rFonts w:ascii="Times New Roman" w:hAnsi="Times New Roman"/>
          <w:color w:val="000000" w:themeColor="text1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</w:t>
      </w:r>
      <w:r w:rsidR="007F336C">
        <w:rPr>
          <w:rFonts w:ascii="Times New Roman" w:hAnsi="Times New Roman" w:cs="Times New Roman"/>
          <w:lang w:eastAsia="x-none"/>
        </w:rPr>
        <w:t xml:space="preserve"> </w:t>
      </w:r>
      <w:r w:rsidR="007F336C"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10A9363F" w14:textId="4692B660" w:rsidR="007F336C" w:rsidRDefault="007F336C" w:rsidP="00822317">
      <w:pPr>
        <w:ind w:left="5103"/>
        <w:rPr>
          <w:rFonts w:ascii="Times New Roman" w:hAnsi="Times New Roman"/>
          <w:color w:val="000000" w:themeColor="text1"/>
        </w:rPr>
      </w:pPr>
    </w:p>
    <w:p w14:paraId="056B5027" w14:textId="01C4C637" w:rsidR="007F336C" w:rsidRPr="001A0141" w:rsidRDefault="007F336C" w:rsidP="00822317">
      <w:pPr>
        <w:ind w:left="5103"/>
        <w:rPr>
          <w:rFonts w:ascii="Times New Roman" w:hAnsi="Times New Roman" w:cs="Times New Roman"/>
          <w:lang w:eastAsia="x-none"/>
        </w:rPr>
      </w:pP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jako pečující osoba za </w:t>
      </w:r>
      <w:r w:rsidR="00100713" w:rsidRPr="0010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r w:rsidRPr="0010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zemřelého</w:t>
      </w:r>
      <w:r w:rsidR="00100713" w:rsidRPr="0010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r w:rsidRPr="00797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žadatele</w:t>
      </w:r>
      <w:r>
        <w:rPr>
          <w:rFonts w:ascii="Times New Roman" w:hAnsi="Times New Roman"/>
          <w:color w:val="000000" w:themeColor="text1"/>
        </w:rPr>
        <w:t xml:space="preserve"> </w:t>
      </w:r>
      <w:r w:rsidRPr="007F336C">
        <w:rPr>
          <w:rFonts w:ascii="Times New Roman" w:hAnsi="Times New Roman"/>
          <w:color w:val="000000" w:themeColor="text1"/>
          <w:highlight w:val="yellow"/>
        </w:rPr>
        <w:t>...</w:t>
      </w:r>
    </w:p>
    <w:p w14:paraId="498E27A6" w14:textId="77777777" w:rsidR="00822317" w:rsidRPr="001A0141" w:rsidRDefault="00822317" w:rsidP="00822317">
      <w:pPr>
        <w:pStyle w:val="Normln-web"/>
        <w:spacing w:before="0"/>
        <w:ind w:left="5103"/>
        <w:rPr>
          <w:rFonts w:ascii="Times New Roman" w:hAnsi="Times New Roman"/>
          <w:b/>
          <w:i/>
          <w:sz w:val="22"/>
          <w:szCs w:val="22"/>
        </w:rPr>
      </w:pPr>
    </w:p>
    <w:p w14:paraId="498E27A7" w14:textId="77777777" w:rsidR="00822317" w:rsidRPr="001A0141" w:rsidRDefault="00822317" w:rsidP="00822317">
      <w:pPr>
        <w:pStyle w:val="Normln-web"/>
        <w:spacing w:before="0"/>
        <w:ind w:left="5103"/>
        <w:rPr>
          <w:rFonts w:ascii="Times New Roman" w:hAnsi="Times New Roman"/>
          <w:b/>
          <w:i/>
          <w:sz w:val="22"/>
          <w:szCs w:val="22"/>
        </w:rPr>
      </w:pPr>
    </w:p>
    <w:p w14:paraId="498E27A8" w14:textId="77777777" w:rsidR="00822317" w:rsidRPr="001A0141" w:rsidRDefault="00822317" w:rsidP="00822317">
      <w:pPr>
        <w:pStyle w:val="Normln-web"/>
        <w:spacing w:before="0"/>
        <w:ind w:left="5103"/>
        <w:rPr>
          <w:rFonts w:ascii="Times New Roman" w:hAnsi="Times New Roman"/>
          <w:b/>
          <w:i/>
          <w:sz w:val="22"/>
          <w:szCs w:val="22"/>
        </w:rPr>
      </w:pPr>
    </w:p>
    <w:p w14:paraId="498E27A9" w14:textId="77777777" w:rsidR="00822317" w:rsidRPr="001A0141" w:rsidRDefault="00822317" w:rsidP="00822317">
      <w:pPr>
        <w:pStyle w:val="Normln-web"/>
        <w:spacing w:before="0"/>
        <w:rPr>
          <w:rFonts w:ascii="Times New Roman" w:hAnsi="Times New Roman"/>
          <w:b/>
          <w:i/>
          <w:sz w:val="22"/>
          <w:szCs w:val="22"/>
        </w:rPr>
      </w:pPr>
    </w:p>
    <w:p w14:paraId="498E27AA" w14:textId="77777777" w:rsidR="00822317" w:rsidRPr="001A0141" w:rsidRDefault="00822317" w:rsidP="00822317">
      <w:pPr>
        <w:pStyle w:val="Nadpis3"/>
        <w:spacing w:before="0"/>
        <w:rPr>
          <w:rFonts w:ascii="Times New Roman" w:hAnsi="Times New Roman"/>
          <w:sz w:val="22"/>
          <w:szCs w:val="22"/>
        </w:rPr>
      </w:pPr>
    </w:p>
    <w:p w14:paraId="498E27AB" w14:textId="77777777" w:rsidR="00822317" w:rsidRPr="007F336C" w:rsidRDefault="00822317" w:rsidP="007F336C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  <w:t>Přílohy:</w:t>
      </w:r>
    </w:p>
    <w:p w14:paraId="498E27AC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lastRenderedPageBreak/>
        <w:t>kopie výsledného rozhodnutí o ukončení řízení</w:t>
      </w:r>
    </w:p>
    <w:p w14:paraId="498E27AD" w14:textId="77777777" w:rsidR="00822317" w:rsidRPr="007F336C" w:rsidRDefault="00822317" w:rsidP="007F336C">
      <w:pPr>
        <w:pStyle w:val="Odstavecseseznamem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7F336C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přílohy dle textu</w:t>
      </w:r>
    </w:p>
    <w:p w14:paraId="498E27AE" w14:textId="77777777" w:rsidR="00822317" w:rsidRPr="00072EE1" w:rsidRDefault="00822317" w:rsidP="00822317">
      <w:pPr>
        <w:pStyle w:val="Normln-web"/>
        <w:spacing w:before="0"/>
        <w:rPr>
          <w:rFonts w:cs="Arial"/>
          <w:b/>
          <w:i/>
          <w:sz w:val="20"/>
          <w:szCs w:val="20"/>
        </w:rPr>
      </w:pPr>
    </w:p>
    <w:p w14:paraId="498E27AF" w14:textId="77777777" w:rsidR="00822317" w:rsidRDefault="00822317" w:rsidP="00822317"/>
    <w:p w14:paraId="498E27B0" w14:textId="77777777" w:rsidR="00A3413F" w:rsidRDefault="00A3413F"/>
    <w:sectPr w:rsidR="00A3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C7"/>
    <w:multiLevelType w:val="hybridMultilevel"/>
    <w:tmpl w:val="C6425D36"/>
    <w:lvl w:ilvl="0" w:tplc="B6E05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A4A"/>
    <w:multiLevelType w:val="hybridMultilevel"/>
    <w:tmpl w:val="BBDC7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9A1"/>
    <w:multiLevelType w:val="hybridMultilevel"/>
    <w:tmpl w:val="14AC4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0CDF"/>
    <w:multiLevelType w:val="hybridMultilevel"/>
    <w:tmpl w:val="0856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777E"/>
    <w:multiLevelType w:val="hybridMultilevel"/>
    <w:tmpl w:val="C13CCEC6"/>
    <w:lvl w:ilvl="0" w:tplc="1D64DD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703BC"/>
    <w:multiLevelType w:val="hybridMultilevel"/>
    <w:tmpl w:val="CF881B22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4785">
    <w:abstractNumId w:val="5"/>
  </w:num>
  <w:num w:numId="2" w16cid:durableId="1607493241">
    <w:abstractNumId w:val="4"/>
  </w:num>
  <w:num w:numId="3" w16cid:durableId="1934777473">
    <w:abstractNumId w:val="1"/>
  </w:num>
  <w:num w:numId="4" w16cid:durableId="798886344">
    <w:abstractNumId w:val="0"/>
  </w:num>
  <w:num w:numId="5" w16cid:durableId="522791414">
    <w:abstractNumId w:val="3"/>
  </w:num>
  <w:num w:numId="6" w16cid:durableId="195782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17"/>
    <w:rsid w:val="00100713"/>
    <w:rsid w:val="002B60E1"/>
    <w:rsid w:val="004D7371"/>
    <w:rsid w:val="00650388"/>
    <w:rsid w:val="00797F3F"/>
    <w:rsid w:val="007F336C"/>
    <w:rsid w:val="00822317"/>
    <w:rsid w:val="00A064DC"/>
    <w:rsid w:val="00A3413F"/>
    <w:rsid w:val="00E835C5"/>
    <w:rsid w:val="00ED7A03"/>
    <w:rsid w:val="00E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73C"/>
  <w15:chartTrackingRefBased/>
  <w15:docId w15:val="{DC254D03-38BE-4E4B-AD4A-ECBA6A55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317"/>
  </w:style>
  <w:style w:type="paragraph" w:styleId="Nadpis3">
    <w:name w:val="heading 3"/>
    <w:basedOn w:val="Normln"/>
    <w:next w:val="Normln"/>
    <w:link w:val="Nadpis3Char"/>
    <w:autoRedefine/>
    <w:qFormat/>
    <w:rsid w:val="00822317"/>
    <w:pPr>
      <w:keepNext/>
      <w:spacing w:before="120"/>
      <w:outlineLvl w:val="2"/>
    </w:pPr>
    <w:rPr>
      <w:rFonts w:ascii="Arial" w:eastAsia="Times New Roman" w:hAnsi="Arial" w:cs="Times New Roman"/>
      <w:b/>
      <w:bCs/>
      <w:sz w:val="2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22317"/>
    <w:rPr>
      <w:rFonts w:ascii="Arial" w:eastAsia="Times New Roman" w:hAnsi="Arial" w:cs="Times New Roman"/>
      <w:b/>
      <w:bCs/>
      <w:sz w:val="26"/>
      <w:szCs w:val="24"/>
      <w:lang w:val="x-none" w:eastAsia="x-none"/>
    </w:rPr>
  </w:style>
  <w:style w:type="paragraph" w:customStyle="1" w:styleId="Normln-web">
    <w:name w:val="Normální-web"/>
    <w:basedOn w:val="Normln"/>
    <w:rsid w:val="00822317"/>
    <w:pPr>
      <w:spacing w:before="120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2317"/>
    <w:pPr>
      <w:ind w:left="720"/>
      <w:contextualSpacing/>
    </w:pPr>
  </w:style>
  <w:style w:type="paragraph" w:customStyle="1" w:styleId="Styl">
    <w:name w:val="Styl"/>
    <w:rsid w:val="00E835C5"/>
    <w:pPr>
      <w:widowControl w:val="0"/>
      <w:suppressAutoHyphens/>
      <w:autoSpaceDE w:val="0"/>
      <w:jc w:val="left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1449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Radka Pešlová</cp:lastModifiedBy>
  <cp:revision>7</cp:revision>
  <dcterms:created xsi:type="dcterms:W3CDTF">2022-11-11T12:06:00Z</dcterms:created>
  <dcterms:modified xsi:type="dcterms:W3CDTF">2022-11-11T13:09:00Z</dcterms:modified>
</cp:coreProperties>
</file>